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EC1EC">
      <w:pPr>
        <w:pStyle w:val="3"/>
        <w:snapToGrid w:val="0"/>
        <w:spacing w:before="0" w:after="0" w:line="360" w:lineRule="auto"/>
        <w:jc w:val="center"/>
        <w:rPr>
          <w:rFonts w:ascii="宋体" w:hAnsi="宋体" w:cs="宋体"/>
          <w:lang w:val="zh-CN"/>
        </w:rPr>
      </w:pPr>
      <w:bookmarkStart w:id="0" w:name="_Toc144126065"/>
      <w:bookmarkStart w:id="1" w:name="_Toc21094"/>
      <w:bookmarkStart w:id="2" w:name="_Toc50053626"/>
      <w:bookmarkStart w:id="3" w:name="_Toc136964119"/>
      <w:bookmarkStart w:id="4" w:name="_Toc144126039"/>
      <w:bookmarkStart w:id="5" w:name="_Toc13003"/>
      <w:r>
        <w:rPr>
          <w:rFonts w:hint="eastAsia" w:ascii="宋体" w:hAnsi="宋体" w:cs="宋体"/>
          <w:lang w:val="zh-CN"/>
        </w:rPr>
        <w:t>业务需求书</w:t>
      </w:r>
    </w:p>
    <w:bookmarkEnd w:id="0"/>
    <w:bookmarkEnd w:id="1"/>
    <w:bookmarkEnd w:id="2"/>
    <w:bookmarkEnd w:id="3"/>
    <w:bookmarkEnd w:id="4"/>
    <w:bookmarkEnd w:id="5"/>
    <w:p w14:paraId="5EFD77AF">
      <w:pPr>
        <w:pStyle w:val="4"/>
        <w:keepNext w:val="0"/>
        <w:keepLines w:val="0"/>
        <w:snapToGrid w:val="0"/>
        <w:spacing w:line="360" w:lineRule="auto"/>
        <w:jc w:val="left"/>
        <w:rPr>
          <w:rFonts w:ascii="宋体" w:hAnsi="宋体" w:eastAsia="宋体" w:cs="宋体"/>
        </w:rPr>
      </w:pPr>
      <w:bookmarkStart w:id="6" w:name="_Toc144126040"/>
      <w:bookmarkStart w:id="7" w:name="_Toc144126066"/>
      <w:r>
        <w:rPr>
          <w:rFonts w:hint="eastAsia" w:ascii="宋体" w:hAnsi="宋体" w:eastAsia="宋体" w:cs="宋体"/>
        </w:rPr>
        <w:t>一、项目概况</w:t>
      </w:r>
    </w:p>
    <w:p w14:paraId="60A11F6B">
      <w:pPr>
        <w:pStyle w:val="5"/>
        <w:keepNext w:val="0"/>
        <w:keepLines w:val="0"/>
        <w:wordWrap w:val="0"/>
        <w:snapToGrid w:val="0"/>
        <w:spacing w:before="0" w:after="0" w:line="360" w:lineRule="auto"/>
        <w:rPr>
          <w:rFonts w:ascii="宋体" w:hAnsi="宋体" w:cs="宋体"/>
        </w:rPr>
      </w:pPr>
      <w:r>
        <w:rPr>
          <w:rFonts w:ascii="宋体" w:hAnsi="宋体" w:cs="宋体"/>
        </w:rPr>
        <w:t>1、项目背景</w:t>
      </w:r>
    </w:p>
    <w:p w14:paraId="5B4CB5FD">
      <w:pPr>
        <w:snapToGrid w:val="0"/>
        <w:spacing w:line="360" w:lineRule="auto"/>
        <w:ind w:firstLine="420" w:firstLineChars="200"/>
        <w:rPr>
          <w:rFonts w:ascii="宋体" w:hAnsi="宋体" w:cs="宋体"/>
        </w:rPr>
      </w:pPr>
      <w:r>
        <w:rPr>
          <w:rFonts w:hint="eastAsia" w:ascii="宋体" w:hAnsi="宋体" w:cs="宋体"/>
        </w:rPr>
        <w:t>广州城市新中轴南段改造贯通是广州贯彻落实国家关于城中村改造等“三大工程”建设的展示窗口，是推动广州城市老中轴、新中轴、活力创新轴“三轴”融合互动的重要抓手，更是面向第十五届全运会全面展现广州发展活力、魅力和创新力的重要举措。根据</w:t>
      </w:r>
      <w:r>
        <w:rPr>
          <w:rFonts w:ascii="宋体" w:hAnsi="宋体" w:cs="宋体"/>
        </w:rPr>
        <w:t>2024</w:t>
      </w:r>
      <w:r>
        <w:rPr>
          <w:rFonts w:hint="eastAsia" w:ascii="宋体" w:hAnsi="宋体" w:cs="宋体"/>
        </w:rPr>
        <w:t>年广州市政府工作报告，</w:t>
      </w:r>
      <w:r>
        <w:rPr>
          <w:rFonts w:ascii="宋体" w:hAnsi="宋体" w:cs="宋体"/>
        </w:rPr>
        <w:t>2024</w:t>
      </w:r>
      <w:r>
        <w:rPr>
          <w:rFonts w:hint="eastAsia" w:ascii="宋体" w:hAnsi="宋体" w:cs="宋体"/>
        </w:rPr>
        <w:t>年将强力推进广州新中轴（海珠）等重点片区改造，加快推进“一轴两岸、四片多点”（“一轴”即新中轴）城市品质提升。为贯彻市委、市政府对城市品质提升工作等相关要求及对新中轴贯通工作相关部署，支撑城中村改造等“三大工程”快速平稳推进，特开展本项目。</w:t>
      </w:r>
    </w:p>
    <w:p w14:paraId="03D06B71">
      <w:pPr>
        <w:pStyle w:val="5"/>
        <w:keepNext w:val="0"/>
        <w:keepLines w:val="0"/>
        <w:wordWrap w:val="0"/>
        <w:snapToGrid w:val="0"/>
        <w:spacing w:before="0" w:after="0" w:line="360" w:lineRule="auto"/>
        <w:rPr>
          <w:rFonts w:ascii="宋体" w:hAnsi="宋体" w:cs="宋体"/>
          <w:highlight w:val="none"/>
        </w:rPr>
      </w:pPr>
      <w:r>
        <w:rPr>
          <w:rFonts w:hint="eastAsia" w:ascii="宋体" w:hAnsi="宋体" w:cs="宋体"/>
          <w:highlight w:val="none"/>
        </w:rPr>
        <w:t xml:space="preserve">2、采购预算：¥ </w:t>
      </w:r>
      <w:r>
        <w:rPr>
          <w:rFonts w:ascii="宋体" w:hAnsi="宋体" w:cs="宋体"/>
          <w:highlight w:val="none"/>
        </w:rPr>
        <w:t>14,00</w:t>
      </w:r>
      <w:r>
        <w:rPr>
          <w:rFonts w:hint="eastAsia" w:ascii="宋体" w:hAnsi="宋体" w:cs="宋体"/>
          <w:highlight w:val="none"/>
        </w:rPr>
        <w:t>0,000</w:t>
      </w:r>
      <w:r>
        <w:rPr>
          <w:rFonts w:ascii="宋体" w:hAnsi="宋体" w:cs="宋体"/>
          <w:highlight w:val="none"/>
        </w:rPr>
        <w:t>.</w:t>
      </w:r>
      <w:r>
        <w:rPr>
          <w:rFonts w:hint="eastAsia" w:ascii="宋体" w:hAnsi="宋体" w:cs="宋体"/>
          <w:highlight w:val="none"/>
        </w:rPr>
        <w:t>00元（大写：人民币壹仟肆佰万元整）</w:t>
      </w:r>
    </w:p>
    <w:p w14:paraId="0B42EDE2">
      <w:pPr>
        <w:pStyle w:val="5"/>
        <w:keepNext w:val="0"/>
        <w:keepLines w:val="0"/>
        <w:wordWrap w:val="0"/>
        <w:snapToGrid w:val="0"/>
        <w:spacing w:before="0" w:after="0" w:line="360" w:lineRule="auto"/>
        <w:rPr>
          <w:rFonts w:ascii="宋体" w:hAnsi="宋体" w:cs="宋体"/>
        </w:rPr>
      </w:pPr>
      <w:r>
        <w:rPr>
          <w:rFonts w:ascii="宋体" w:hAnsi="宋体" w:cs="宋体"/>
        </w:rPr>
        <w:t>3、规划范围</w:t>
      </w:r>
    </w:p>
    <w:p w14:paraId="6B4EC49E">
      <w:pPr>
        <w:snapToGrid w:val="0"/>
        <w:spacing w:line="360" w:lineRule="auto"/>
        <w:ind w:firstLine="420" w:firstLineChars="200"/>
        <w:jc w:val="left"/>
        <w:rPr>
          <w:rFonts w:ascii="宋体" w:hAnsi="宋体" w:cs="宋体"/>
        </w:rPr>
      </w:pPr>
      <w:r>
        <w:rPr>
          <w:rFonts w:hint="eastAsia" w:ascii="宋体" w:hAnsi="宋体" w:cs="宋体"/>
        </w:rPr>
        <w:t>本次控规调整范围以海珠三滘村、东风村和红卫城中村改造范围为基础，成片连片统筹规划为原则，综合考虑道路、河涌水系等要素，保证基础设施和公共服务相对完整，划定北至艺洲路、南至环城高速、东至江海大道、西至东晓南路的规划范围，面积约6</w:t>
      </w:r>
      <w:r>
        <w:rPr>
          <w:rFonts w:ascii="宋体" w:hAnsi="宋体" w:cs="宋体"/>
        </w:rPr>
        <w:t>43</w:t>
      </w:r>
      <w:r>
        <w:rPr>
          <w:rFonts w:hint="eastAsia" w:ascii="宋体" w:hAnsi="宋体" w:cs="宋体"/>
        </w:rPr>
        <w:t>公顷。</w:t>
      </w:r>
    </w:p>
    <w:p w14:paraId="48E1A8D4">
      <w:pPr>
        <w:pStyle w:val="2"/>
      </w:pPr>
      <w:r>
        <w:drawing>
          <wp:inline distT="0" distB="0" distL="0" distR="0">
            <wp:extent cx="5759450" cy="5035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759450" cy="5035550"/>
                    </a:xfrm>
                    <a:prstGeom prst="rect">
                      <a:avLst/>
                    </a:prstGeom>
                  </pic:spPr>
                </pic:pic>
              </a:graphicData>
            </a:graphic>
          </wp:inline>
        </w:drawing>
      </w:r>
    </w:p>
    <w:p w14:paraId="452572E1">
      <w:pPr>
        <w:wordWrap w:val="0"/>
        <w:snapToGrid w:val="0"/>
        <w:spacing w:line="360" w:lineRule="auto"/>
        <w:jc w:val="center"/>
        <w:rPr>
          <w:rFonts w:ascii="宋体" w:hAnsi="宋体" w:cs="宋体"/>
        </w:rPr>
      </w:pPr>
      <w:r>
        <w:rPr>
          <w:rFonts w:hint="eastAsia" w:ascii="宋体" w:hAnsi="宋体" w:cs="宋体"/>
        </w:rPr>
        <w:t>规划范围示意图</w:t>
      </w:r>
    </w:p>
    <w:p w14:paraId="3A3BDE2A">
      <w:pPr>
        <w:pStyle w:val="4"/>
        <w:keepNext w:val="0"/>
        <w:keepLines w:val="0"/>
        <w:snapToGrid w:val="0"/>
        <w:spacing w:line="360" w:lineRule="auto"/>
        <w:jc w:val="left"/>
        <w:rPr>
          <w:rFonts w:ascii="宋体" w:hAnsi="宋体" w:eastAsia="宋体" w:cs="宋体"/>
        </w:rPr>
      </w:pPr>
      <w:r>
        <w:rPr>
          <w:rFonts w:hint="eastAsia" w:ascii="宋体" w:hAnsi="宋体" w:eastAsia="宋体" w:cs="宋体"/>
        </w:rPr>
        <w:t>二、工作内容及要求</w:t>
      </w:r>
    </w:p>
    <w:p w14:paraId="257BA8CE">
      <w:pPr>
        <w:pStyle w:val="5"/>
        <w:keepNext w:val="0"/>
        <w:keepLines w:val="0"/>
        <w:wordWrap w:val="0"/>
        <w:snapToGrid w:val="0"/>
        <w:spacing w:before="0" w:after="0" w:line="360" w:lineRule="auto"/>
        <w:rPr>
          <w:rFonts w:ascii="宋体" w:hAnsi="宋体" w:cs="宋体"/>
        </w:rPr>
      </w:pPr>
      <w:r>
        <w:rPr>
          <w:rFonts w:ascii="宋体" w:hAnsi="宋体" w:cs="宋体"/>
        </w:rPr>
        <w:t>1、工作内容</w:t>
      </w:r>
    </w:p>
    <w:p w14:paraId="426994F7">
      <w:pPr>
        <w:wordWrap w:val="0"/>
        <w:snapToGrid w:val="0"/>
        <w:spacing w:line="360" w:lineRule="auto"/>
        <w:ind w:firstLine="420" w:firstLineChars="200"/>
        <w:rPr>
          <w:rFonts w:ascii="宋体" w:hAnsi="宋体" w:cs="宋体"/>
        </w:rPr>
      </w:pPr>
      <w:r>
        <w:rPr>
          <w:rFonts w:hint="eastAsia" w:ascii="宋体" w:hAnsi="宋体" w:cs="宋体"/>
        </w:rPr>
        <w:t>本项目主要包括：控规优化、详细城市设计（含重点地区地块城市设计图则）、专题研究及专项评估四大项工作内容。具体工作任务如下：</w:t>
      </w:r>
    </w:p>
    <w:p w14:paraId="1A575A92">
      <w:pPr>
        <w:pStyle w:val="6"/>
        <w:rPr>
          <w:lang w:eastAsia="zh-CN"/>
        </w:rPr>
      </w:pPr>
      <w:r>
        <w:rPr>
          <w:rFonts w:hint="eastAsia"/>
          <w:lang w:eastAsia="zh-CN"/>
        </w:rPr>
        <w:t>（一</w:t>
      </w:r>
      <w:r>
        <w:rPr>
          <w:lang w:eastAsia="zh-CN"/>
        </w:rPr>
        <w:t>）</w:t>
      </w:r>
      <w:r>
        <w:rPr>
          <w:rFonts w:hint="eastAsia"/>
          <w:lang w:eastAsia="zh-CN"/>
        </w:rPr>
        <w:t>控规优化</w:t>
      </w:r>
    </w:p>
    <w:p w14:paraId="34F226E9">
      <w:pPr>
        <w:wordWrap w:val="0"/>
        <w:snapToGrid w:val="0"/>
        <w:spacing w:line="360" w:lineRule="auto"/>
        <w:ind w:firstLine="420" w:firstLineChars="200"/>
        <w:rPr>
          <w:rFonts w:ascii="宋体" w:hAnsi="宋体" w:cs="宋体"/>
        </w:rPr>
      </w:pPr>
      <w:r>
        <w:rPr>
          <w:rFonts w:hint="eastAsia" w:ascii="宋体" w:hAnsi="宋体" w:cs="宋体"/>
        </w:rPr>
        <w:t>根据上层次规划、政策及相关技术规定的要求,编制控规调整方案,完成公共服务设施、市政公用设施、交通设施专项调整方案，完成项目整体概况、修改原因、申请修改的内容修改前后对比、修改影响分析、提请审议事项等工作内容，明确修改后的土地利用性质、开发强度、建筑密度、绿地率、建筑高度等控制性要求。编制控规优化论证报告，提出项目整体概况、调整原因、调整内容、调整影响分析、提请审议内容等，全面深入论证本次控规调整的内容和要求，按要求提交广州市规委会或下设委员会（主任委员会/地区规划专业委员会等）审查。同步对应制作与项目相关的会议汇报文件、公示文件、上会材料（以具体上会要求为准）及上报广州市政府的材料等，并编制成果上网文件。</w:t>
      </w:r>
    </w:p>
    <w:p w14:paraId="59B843D6">
      <w:pPr>
        <w:pStyle w:val="6"/>
        <w:rPr>
          <w:lang w:eastAsia="zh-CN"/>
        </w:rPr>
      </w:pPr>
      <w:r>
        <w:rPr>
          <w:rFonts w:hint="eastAsia"/>
          <w:lang w:eastAsia="zh-CN"/>
        </w:rPr>
        <w:t>（二</w:t>
      </w:r>
      <w:r>
        <w:rPr>
          <w:lang w:eastAsia="zh-CN"/>
        </w:rPr>
        <w:t>）</w:t>
      </w:r>
      <w:r>
        <w:rPr>
          <w:rFonts w:hint="eastAsia"/>
          <w:lang w:eastAsia="zh-CN"/>
        </w:rPr>
        <w:t>详细城市设计（含重点地区地块城市设计图则）</w:t>
      </w:r>
    </w:p>
    <w:p w14:paraId="3C48D2DB">
      <w:pPr>
        <w:spacing w:line="360" w:lineRule="auto"/>
        <w:ind w:firstLine="560"/>
        <w:rPr>
          <w:rFonts w:ascii="宋体" w:hAnsi="宋体" w:cs="宋体"/>
        </w:rPr>
      </w:pPr>
      <w:r>
        <w:rPr>
          <w:rFonts w:ascii="宋体" w:hAnsi="宋体" w:cs="宋体"/>
        </w:rPr>
        <w:t>广州</w:t>
      </w:r>
      <w:r>
        <w:rPr>
          <w:rFonts w:hint="eastAsia" w:ascii="宋体" w:hAnsi="宋体" w:cs="宋体"/>
        </w:rPr>
        <w:t>新中轴海珠片区</w:t>
      </w:r>
      <w:r>
        <w:rPr>
          <w:rFonts w:ascii="宋体" w:hAnsi="宋体" w:cs="宋体"/>
        </w:rPr>
        <w:t>作为中心城区的核心引擎地区，本次开展修规深度的城市空间形态设计，形成地区总体风貌与建设品质的精细化管控体系。主要工作内容包括：</w:t>
      </w:r>
    </w:p>
    <w:p w14:paraId="11665450">
      <w:pPr>
        <w:spacing w:line="360" w:lineRule="auto"/>
        <w:ind w:firstLine="560"/>
        <w:rPr>
          <w:rFonts w:ascii="宋体" w:hAnsi="宋体" w:cs="宋体"/>
        </w:rPr>
      </w:pPr>
      <w:r>
        <w:rPr>
          <w:rFonts w:ascii="宋体" w:hAnsi="宋体" w:cs="宋体"/>
        </w:rPr>
        <w:t>1）整体空间形态布局。从有利于提高整体空间质量、保持城市活力、促进资源共享的角度进行功能策划与空间布局，进行空间形态分析，对轴线、视廊、高层建筑布局、地标等提出控制和引导要求，建立整体空间架构</w:t>
      </w:r>
      <w:r>
        <w:rPr>
          <w:rFonts w:hint="eastAsia" w:ascii="宋体" w:hAnsi="宋体" w:cs="宋体"/>
        </w:rPr>
        <w:t>，形成功能布局合理、空间风貌优美的总平面方案。</w:t>
      </w:r>
    </w:p>
    <w:p w14:paraId="515F27FB">
      <w:pPr>
        <w:spacing w:line="360" w:lineRule="auto"/>
        <w:ind w:firstLine="560"/>
        <w:rPr>
          <w:rFonts w:ascii="宋体" w:hAnsi="宋体" w:cs="宋体"/>
        </w:rPr>
      </w:pPr>
      <w:r>
        <w:rPr>
          <w:rFonts w:ascii="宋体" w:hAnsi="宋体" w:cs="宋体"/>
        </w:rPr>
        <w:t>2）公共开敞空间体系。根据人的活动需求、景观塑造等因素组织公共开敞空间，提供舒适、安全、富有特色的公共活动场所，对开敞空间的位置、功能、尺度、可达性、界面景观等提出控制与引导要求。</w:t>
      </w:r>
    </w:p>
    <w:p w14:paraId="774931F1">
      <w:pPr>
        <w:spacing w:line="360" w:lineRule="auto"/>
        <w:ind w:firstLine="560"/>
        <w:rPr>
          <w:rFonts w:ascii="宋体" w:hAnsi="宋体" w:cs="宋体"/>
        </w:rPr>
      </w:pPr>
      <w:r>
        <w:rPr>
          <w:rFonts w:ascii="宋体" w:hAnsi="宋体" w:cs="宋体"/>
        </w:rPr>
        <w:t>3）城市界面详细控制。加强</w:t>
      </w:r>
      <w:r>
        <w:rPr>
          <w:rFonts w:hint="eastAsia" w:ascii="宋体" w:hAnsi="宋体" w:cs="宋体"/>
        </w:rPr>
        <w:t>临轴、环湖等重要界面控制，</w:t>
      </w:r>
      <w:r>
        <w:rPr>
          <w:rFonts w:ascii="宋体" w:hAnsi="宋体" w:cs="宋体"/>
        </w:rPr>
        <w:t>分析界面构成要素，明确界面景观特征，对沿线建筑的平面布局、高度体量、立面风格、以及绿化等提出控制或引导要求。</w:t>
      </w:r>
    </w:p>
    <w:p w14:paraId="61622658">
      <w:pPr>
        <w:spacing w:line="360" w:lineRule="auto"/>
        <w:ind w:firstLine="560"/>
        <w:rPr>
          <w:rFonts w:ascii="宋体" w:hAnsi="宋体" w:cs="宋体"/>
        </w:rPr>
      </w:pPr>
      <w:r>
        <w:rPr>
          <w:rFonts w:ascii="宋体" w:hAnsi="宋体" w:cs="宋体"/>
        </w:rPr>
        <w:t>4</w:t>
      </w:r>
      <w:r>
        <w:rPr>
          <w:rFonts w:hint="eastAsia" w:ascii="宋体" w:hAnsi="宋体" w:cs="宋体"/>
        </w:rPr>
        <w:t>）重点地区地块</w:t>
      </w:r>
      <w:r>
        <w:rPr>
          <w:rFonts w:ascii="宋体" w:hAnsi="宋体" w:cs="宋体"/>
        </w:rPr>
        <w:t>城市设计</w:t>
      </w:r>
      <w:r>
        <w:rPr>
          <w:rFonts w:hint="eastAsia" w:ascii="宋体" w:hAnsi="宋体" w:cs="宋体"/>
        </w:rPr>
        <w:t>图</w:t>
      </w:r>
      <w:r>
        <w:rPr>
          <w:rFonts w:ascii="宋体" w:hAnsi="宋体" w:cs="宋体"/>
        </w:rPr>
        <w:t>则</w:t>
      </w:r>
      <w:r>
        <w:rPr>
          <w:rFonts w:hint="eastAsia" w:ascii="宋体" w:hAnsi="宋体" w:cs="宋体"/>
        </w:rPr>
        <w:t>。</w:t>
      </w:r>
      <w:r>
        <w:rPr>
          <w:rFonts w:ascii="宋体" w:hAnsi="宋体" w:cs="宋体"/>
        </w:rPr>
        <w:t>对空间形态、景观与开敞空间、街道设计、建筑界面设计等类型核心要素形成设计要求</w:t>
      </w:r>
      <w:r>
        <w:rPr>
          <w:rFonts w:hint="eastAsia" w:ascii="宋体" w:hAnsi="宋体" w:cs="宋体"/>
        </w:rPr>
        <w:t>，针对临轴及环湖地块编制</w:t>
      </w:r>
      <w:r>
        <w:rPr>
          <w:rFonts w:ascii="宋体" w:hAnsi="宋体" w:cs="宋体"/>
        </w:rPr>
        <w:t>控制性详细规划</w:t>
      </w:r>
      <w:r>
        <w:rPr>
          <w:rFonts w:hint="eastAsia" w:ascii="宋体" w:hAnsi="宋体" w:cs="宋体"/>
        </w:rPr>
        <w:t>的地块城市设计</w:t>
      </w:r>
      <w:r>
        <w:rPr>
          <w:rFonts w:ascii="宋体" w:hAnsi="宋体" w:cs="宋体"/>
        </w:rPr>
        <w:t>图则</w:t>
      </w:r>
      <w:r>
        <w:rPr>
          <w:rFonts w:hint="eastAsia" w:ascii="宋体" w:hAnsi="宋体" w:cs="宋体"/>
        </w:rPr>
        <w:t>（不含地下空间内容）</w:t>
      </w:r>
      <w:r>
        <w:rPr>
          <w:rFonts w:ascii="宋体" w:hAnsi="宋体" w:cs="宋体"/>
        </w:rPr>
        <w:t>，确保地块详细设计能贯彻整体设计理念，指导下一步详细设计与建设实施。</w:t>
      </w:r>
    </w:p>
    <w:p w14:paraId="3793A437">
      <w:pPr>
        <w:pStyle w:val="6"/>
        <w:rPr>
          <w:lang w:eastAsia="zh-CN"/>
        </w:rPr>
      </w:pPr>
      <w:r>
        <w:rPr>
          <w:rFonts w:hint="eastAsia"/>
          <w:lang w:eastAsia="zh-CN"/>
        </w:rPr>
        <w:t>（三）专题研究</w:t>
      </w:r>
    </w:p>
    <w:p w14:paraId="0971BF18">
      <w:pPr>
        <w:pStyle w:val="7"/>
        <w:ind w:firstLine="402"/>
      </w:pPr>
      <w:r>
        <w:rPr>
          <w:rFonts w:hint="eastAsia"/>
        </w:rPr>
        <w:t>1）产业专题研究</w:t>
      </w:r>
    </w:p>
    <w:p w14:paraId="050C37E4">
      <w:pPr>
        <w:spacing w:line="360" w:lineRule="auto"/>
        <w:ind w:firstLine="420" w:firstLineChars="200"/>
        <w:rPr>
          <w:rFonts w:ascii="宋体" w:hAnsi="宋体" w:cs="宋体"/>
        </w:rPr>
      </w:pPr>
      <w:r>
        <w:rPr>
          <w:rFonts w:hint="eastAsia" w:ascii="宋体" w:hAnsi="宋体" w:cs="宋体"/>
        </w:rPr>
        <w:t>分析新中轴南段海珠区段在区域发展、产业提升等方面的核心价值，结合产业现状及未来发展方向，研判片区产业功能体系及产业环节选择，构建片区产业功能体系，明确片区发展目标与规划定位，提出产业空间布局，确定建设规模。</w:t>
      </w:r>
    </w:p>
    <w:p w14:paraId="749012E4">
      <w:pPr>
        <w:pStyle w:val="7"/>
        <w:ind w:firstLine="402"/>
      </w:pPr>
      <w:r>
        <w:t>2）</w:t>
      </w:r>
      <w:r>
        <w:rPr>
          <w:rFonts w:hint="eastAsia"/>
        </w:rPr>
        <w:t>地下空间专题研究</w:t>
      </w:r>
    </w:p>
    <w:p w14:paraId="0A6A0242">
      <w:pPr>
        <w:spacing w:line="360" w:lineRule="auto"/>
        <w:ind w:firstLine="420" w:firstLineChars="200"/>
        <w:rPr>
          <w:rFonts w:ascii="宋体" w:hAnsi="宋体" w:cs="宋体"/>
        </w:rPr>
      </w:pPr>
      <w:r>
        <w:rPr>
          <w:rFonts w:hint="eastAsia" w:ascii="宋体" w:hAnsi="宋体" w:cs="宋体"/>
        </w:rPr>
        <w:t>结合地下空间资源条件及地下空间需求，研判地下空间适建性，综合预测地下空间的合理发展规模，提出地下空间总体的规划结构、功能体系与布局，形成一个多功能的立体的综合地下空间体系。</w:t>
      </w:r>
    </w:p>
    <w:p w14:paraId="493FC0FB">
      <w:pPr>
        <w:pStyle w:val="7"/>
        <w:ind w:firstLine="402"/>
      </w:pPr>
      <w:r>
        <w:t>3）</w:t>
      </w:r>
      <w:r>
        <w:rPr>
          <w:rFonts w:hint="eastAsia"/>
        </w:rPr>
        <w:t>动态过程管控</w:t>
      </w:r>
    </w:p>
    <w:p w14:paraId="62A9091C">
      <w:pPr>
        <w:spacing w:line="360" w:lineRule="auto"/>
        <w:ind w:firstLine="420" w:firstLineChars="200"/>
        <w:rPr>
          <w:rFonts w:ascii="宋体" w:hAnsi="宋体" w:cs="宋体"/>
        </w:rPr>
      </w:pPr>
      <w:r>
        <w:rPr>
          <w:rFonts w:hint="eastAsia" w:ascii="宋体" w:hAnsi="宋体" w:cs="宋体"/>
        </w:rPr>
        <w:t>在落实上位规划要求以及满足交通、市政等城市基础设施承载力情况下，结合分期开发方案对不同供给条件下设施承载情况进行动态评估和研判，提出动态建设过程中各时期的开发容量管控，并提出相应条件下设施配置和实施的建议与要求。</w:t>
      </w:r>
    </w:p>
    <w:p w14:paraId="5D8D67F1">
      <w:pPr>
        <w:pStyle w:val="6"/>
        <w:rPr>
          <w:lang w:eastAsia="zh-CN"/>
        </w:rPr>
      </w:pPr>
      <w:r>
        <w:rPr>
          <w:rFonts w:hint="eastAsia"/>
          <w:lang w:eastAsia="zh-CN"/>
        </w:rPr>
        <w:t>（四）专项规划及评估</w:t>
      </w:r>
    </w:p>
    <w:p w14:paraId="57DA433E">
      <w:pPr>
        <w:pStyle w:val="7"/>
        <w:ind w:firstLine="402"/>
      </w:pPr>
      <w:r>
        <w:rPr>
          <w:rFonts w:hint="eastAsia"/>
        </w:rPr>
        <w:t>1、交通专项及交通影响评估</w:t>
      </w:r>
    </w:p>
    <w:p w14:paraId="14451CD6">
      <w:pPr>
        <w:pStyle w:val="2"/>
        <w:spacing w:line="360" w:lineRule="auto"/>
        <w:ind w:firstLine="420" w:firstLineChars="200"/>
      </w:pPr>
      <w:r>
        <w:rPr>
          <w:rFonts w:hint="eastAsia"/>
        </w:rPr>
        <w:t>科学合理确定本地区综合交通系统方案，重视地区干道、轨道交通等重要交通设施的落地，满足未来片区发展产生的人流、物流高效集疏的需要，按要求开展交通影响评估工作。工作内容包括5个部分：</w:t>
      </w:r>
    </w:p>
    <w:p w14:paraId="7E26514B">
      <w:pPr>
        <w:pStyle w:val="2"/>
        <w:spacing w:line="360" w:lineRule="auto"/>
        <w:ind w:firstLine="420" w:firstLineChars="200"/>
      </w:pPr>
      <w:r>
        <w:rPr>
          <w:rFonts w:hint="eastAsia"/>
        </w:rPr>
        <w:t>（1）现状交通分析。对地区的交通设施、交通量及现状分布等展开现状调查。分析现状交通设施、交通量和分布情况，包括道路交通、停车、公交设施、人行等设施现状情况，总结该地区现状交通问题。</w:t>
      </w:r>
      <w:bookmarkStart w:id="12" w:name="_GoBack"/>
      <w:bookmarkEnd w:id="12"/>
    </w:p>
    <w:p w14:paraId="1E12AB27">
      <w:pPr>
        <w:pStyle w:val="2"/>
        <w:spacing w:line="360" w:lineRule="auto"/>
        <w:ind w:firstLine="420" w:firstLineChars="200"/>
      </w:pPr>
      <w:r>
        <w:rPr>
          <w:rFonts w:hint="eastAsia"/>
        </w:rPr>
        <w:t>（2）相关规划分析。收集、整理片区既有的轨道交通规划、道路规划及其他相关规划情况，结合该地区的最新发展定位和交通疏解要求，研判既有规划交通设施对项目的支撑情况。</w:t>
      </w:r>
    </w:p>
    <w:p w14:paraId="7A7A63D7">
      <w:pPr>
        <w:pStyle w:val="2"/>
        <w:spacing w:line="360" w:lineRule="auto"/>
        <w:ind w:firstLine="420" w:firstLineChars="200"/>
      </w:pPr>
      <w:r>
        <w:rPr>
          <w:rFonts w:hint="eastAsia"/>
        </w:rPr>
        <w:t>（3）交通需求预测。以广州市交通模型为基础，根据地区既有交通规划成果，细化地区交通预测模型，结合片区控规方案的土地利用、开发规模、人口和就业岗位等进行需求预测分析，分析地区交通特征及出行分布情况。</w:t>
      </w:r>
    </w:p>
    <w:p w14:paraId="0F71B71B">
      <w:pPr>
        <w:pStyle w:val="2"/>
        <w:spacing w:line="360" w:lineRule="auto"/>
        <w:ind w:firstLine="420" w:firstLineChars="200"/>
      </w:pPr>
      <w:r>
        <w:rPr>
          <w:rFonts w:hint="eastAsia"/>
        </w:rPr>
        <w:t>（4）综合交通规划方案。一是道路交通规划，衔接上层次相关规划要求，落实本地区道路的连接及交通转换，加强区内与外部交通系统的衔接，改善和疏解地区交通，结合控规方案的情况，综合提出地区道路网络规划方案，确定各等级道路的红线宽度及断面要求，并制定道路红线控制方案；二是公共交通规划，包括轨道交通、常规公交规划方案，落实上层次对于轨道交通的规划要求，结合本区的特点与需求，确定轨道交通线站位规划方案及常规公交站场数量、规模和分布等方案；三是慢行系统规划，结合新中轴、海珠湖公园等城市特点，按照通轴的总体要求，梳理区域内的慢行系统规划方案；四是停车设施规划：估算机动车社会公共停车场的规模，并进行布局规划。</w:t>
      </w:r>
    </w:p>
    <w:p w14:paraId="52BA9D45">
      <w:pPr>
        <w:pStyle w:val="2"/>
        <w:spacing w:line="360" w:lineRule="auto"/>
        <w:ind w:firstLine="420" w:firstLineChars="200"/>
      </w:pPr>
      <w:r>
        <w:rPr>
          <w:rFonts w:hint="eastAsia"/>
        </w:rPr>
        <w:t>（5）交通影响评估。结合需求分析，对规划方案的开发规模和交通系统的适应性进行评估，按要求开展交通影响评估工作，评价控规方案优化后交通需求对周边交通系统运作水平的影响，并根据评估结果反馈优化方案，提出交通影响评估结论与相关建议。</w:t>
      </w:r>
    </w:p>
    <w:p w14:paraId="25AFF36B">
      <w:pPr>
        <w:pStyle w:val="7"/>
        <w:ind w:firstLine="402"/>
      </w:pPr>
      <w:r>
        <w:rPr>
          <w:rFonts w:hint="eastAsia"/>
        </w:rPr>
        <w:t>2、历史文化遗产保护专章</w:t>
      </w:r>
    </w:p>
    <w:p w14:paraId="7442FB37">
      <w:pPr>
        <w:spacing w:line="360" w:lineRule="auto"/>
        <w:ind w:firstLine="420" w:firstLineChars="200"/>
      </w:pPr>
      <w:r>
        <w:rPr>
          <w:rFonts w:hint="eastAsia"/>
        </w:rPr>
        <w:t>（1）开展历史研究，分析地区发展脉络和价值特色；分析并研究落实相关规划要求。</w:t>
      </w:r>
    </w:p>
    <w:p w14:paraId="4C4CAE87">
      <w:pPr>
        <w:spacing w:line="360" w:lineRule="auto"/>
        <w:ind w:firstLine="420" w:firstLineChars="200"/>
      </w:pPr>
      <w:r>
        <w:rPr>
          <w:rFonts w:hint="eastAsia"/>
        </w:rPr>
        <w:t>（2）开展历史文化遗产核查调查评估，核查评估范围内的现有历史文化遗产现状保存情况，调查其他具有保护价值的历史文化遗产，对具有重要保护价值、未申报的历史文化遗产按相关标准列入推荐保护名录。</w:t>
      </w:r>
    </w:p>
    <w:p w14:paraId="6DE2131D">
      <w:pPr>
        <w:spacing w:line="360" w:lineRule="auto"/>
        <w:ind w:firstLine="420" w:firstLineChars="200"/>
      </w:pPr>
      <w:r>
        <w:rPr>
          <w:rFonts w:hint="eastAsia"/>
        </w:rPr>
        <w:t>（3）落实各级历史文化遗产保护要求，制定保护控制要求以及相应的保护措施，对保护对象分类提出保护和利用措施，功能更新利用的活化建议等。</w:t>
      </w:r>
    </w:p>
    <w:p w14:paraId="4B6D9EEA">
      <w:pPr>
        <w:spacing w:line="360" w:lineRule="auto"/>
        <w:ind w:firstLine="420" w:firstLineChars="200"/>
      </w:pPr>
      <w:r>
        <w:rPr>
          <w:rFonts w:hint="eastAsia"/>
        </w:rPr>
        <w:t>（4）评估分析项目对历史文化遗产的影响，提出与控制性详细规划衔接的相关内容，以及结论和建议。</w:t>
      </w:r>
    </w:p>
    <w:p w14:paraId="5EFBF65E">
      <w:pPr>
        <w:pStyle w:val="7"/>
        <w:ind w:firstLine="402"/>
      </w:pPr>
      <w:r>
        <w:rPr>
          <w:rFonts w:hint="eastAsia"/>
        </w:rPr>
        <w:t>3、</w:t>
      </w:r>
      <w:r>
        <w:t>环境影响评估</w:t>
      </w:r>
    </w:p>
    <w:p w14:paraId="6071D326">
      <w:pPr>
        <w:spacing w:line="360" w:lineRule="auto"/>
        <w:ind w:firstLine="420" w:firstLineChars="200"/>
      </w:pPr>
      <w:r>
        <w:rPr>
          <w:rFonts w:hint="eastAsia"/>
        </w:rPr>
        <w:t>（1）</w:t>
      </w:r>
      <w:r>
        <w:t>规划分析</w:t>
      </w:r>
      <w:r>
        <w:rPr>
          <w:rFonts w:hint="eastAsia"/>
        </w:rPr>
        <w:t>。</w:t>
      </w:r>
      <w:r>
        <w:t>介绍规划不同阶段目标、发展规模、布局、结构、建设时序，以及规划包含的具体建设项目的建设计划等可能对生态环境造成影响的规划内容；给出规划与法规政策、上层位规划、区域“三线一单”管控要求、同层位规划在环境目标、生态保护、资源利用等方面的符合性和协调性分析结论。</w:t>
      </w:r>
    </w:p>
    <w:p w14:paraId="56344978">
      <w:pPr>
        <w:spacing w:line="360" w:lineRule="auto"/>
        <w:ind w:firstLine="420" w:firstLineChars="200"/>
      </w:pPr>
      <w:r>
        <w:rPr>
          <w:rFonts w:hint="eastAsia"/>
        </w:rPr>
        <w:t>（2）</w:t>
      </w:r>
      <w:r>
        <w:t>现状调查与评价</w:t>
      </w:r>
      <w:r>
        <w:rPr>
          <w:rFonts w:hint="eastAsia"/>
        </w:rPr>
        <w:t>。</w:t>
      </w:r>
      <w:r>
        <w:t>调查规划区域内的自然环境概况、社会经济概况、规划地块现状发展概况、环保基础设施建设及运行情况等。</w:t>
      </w:r>
    </w:p>
    <w:p w14:paraId="5907C3B1">
      <w:pPr>
        <w:spacing w:line="360" w:lineRule="auto"/>
        <w:ind w:firstLine="420" w:firstLineChars="200"/>
      </w:pPr>
      <w:r>
        <w:rPr>
          <w:rFonts w:hint="eastAsia"/>
        </w:rPr>
        <w:t>（3）</w:t>
      </w:r>
      <w:r>
        <w:t>环境影响预测与评价</w:t>
      </w:r>
      <w:r>
        <w:rPr>
          <w:rFonts w:hint="eastAsia"/>
        </w:rPr>
        <w:t>。</w:t>
      </w:r>
      <w:r>
        <w:t>设置多种预测情景，估算不同情景下规划实施对各类支撑性资源的需求量和主要污染物的产生量、排放量，以及主要生态因子的变化量。预测与评价不同情景下规划实施对生态系统结构和功能、环境质量、环境敏感区的影响范围与程度，明确规划实施后能否满足环境目标的要求。评价区域资源与环境对规划实施的承载能力。</w:t>
      </w:r>
    </w:p>
    <w:p w14:paraId="6B66A2B1">
      <w:pPr>
        <w:spacing w:line="360" w:lineRule="auto"/>
        <w:ind w:firstLine="420" w:firstLineChars="200"/>
      </w:pPr>
      <w:r>
        <w:rPr>
          <w:rFonts w:hint="eastAsia"/>
        </w:rPr>
        <w:t>（4）</w:t>
      </w:r>
      <w:r>
        <w:t>规划方案综合论证和优化调整建议</w:t>
      </w:r>
      <w:r>
        <w:rPr>
          <w:rFonts w:hint="eastAsia"/>
        </w:rPr>
        <w:t>。</w:t>
      </w:r>
      <w:r>
        <w:t>根据规划环境目标可达性论证规划的目标、规模、布局、结构等规划内容的环境合理性，以及规划实施的环境效益。介绍规划环评与规划编制互动情况。明确规划方案的优化调整建议，并给出调整后的规划布局、结构、规模、建设时序。</w:t>
      </w:r>
    </w:p>
    <w:p w14:paraId="0AAC420E">
      <w:pPr>
        <w:spacing w:line="360" w:lineRule="auto"/>
        <w:ind w:firstLine="420" w:firstLineChars="200"/>
      </w:pPr>
      <w:r>
        <w:rPr>
          <w:rFonts w:hint="eastAsia"/>
        </w:rPr>
        <w:t>（</w:t>
      </w:r>
      <w:r>
        <w:t>5</w:t>
      </w:r>
      <w:r>
        <w:rPr>
          <w:rFonts w:hint="eastAsia"/>
        </w:rPr>
        <w:t>）</w:t>
      </w:r>
      <w:r>
        <w:t>环境影响减缓措施和跟踪评价</w:t>
      </w:r>
      <w:r>
        <w:rPr>
          <w:rFonts w:hint="eastAsia"/>
        </w:rPr>
        <w:t>。跟踪评价则重点监测规划实施后的环境质量变化（如空气、水质、噪声等），评估减缓措施有效性，定期开展公众反馈调查，动态调整规划方案以确保生态保护与可持续发展目标达成。</w:t>
      </w:r>
    </w:p>
    <w:p w14:paraId="5D1B6BEE">
      <w:pPr>
        <w:pStyle w:val="7"/>
        <w:ind w:firstLine="402"/>
      </w:pPr>
      <w:r>
        <w:rPr>
          <w:rFonts w:hint="eastAsia"/>
        </w:rPr>
        <w:t>4、社会稳定性评估</w:t>
      </w:r>
    </w:p>
    <w:p w14:paraId="517419CF">
      <w:pPr>
        <w:pStyle w:val="2"/>
        <w:spacing w:line="360" w:lineRule="auto"/>
        <w:ind w:firstLine="420" w:firstLineChars="200"/>
      </w:pPr>
      <w:r>
        <w:rPr>
          <w:rFonts w:hint="eastAsia"/>
        </w:rPr>
        <w:t>（1）项目概况。介绍项目的背景和进展、项目片区概况、项目控调方案概况等。</w:t>
      </w:r>
    </w:p>
    <w:p w14:paraId="435CC054">
      <w:pPr>
        <w:pStyle w:val="2"/>
        <w:spacing w:line="360" w:lineRule="auto"/>
        <w:ind w:firstLine="420" w:firstLineChars="200"/>
      </w:pPr>
      <w:r>
        <w:rPr>
          <w:rFonts w:hint="eastAsia"/>
        </w:rPr>
        <w:t>（2）社会稳定风险评估依据。介绍相关法律、法规和政策性文件；国家、省、市对应政策文件等。</w:t>
      </w:r>
    </w:p>
    <w:p w14:paraId="169926B3">
      <w:pPr>
        <w:pStyle w:val="2"/>
        <w:spacing w:line="360" w:lineRule="auto"/>
        <w:ind w:firstLine="420" w:firstLineChars="200"/>
      </w:pPr>
      <w:r>
        <w:rPr>
          <w:rFonts w:hint="eastAsia"/>
        </w:rPr>
        <w:t>（3）社会稳定风险评估调查。制定社会稳定风险评估技术路线，对风险调查进行全面性、广泛性、真实性的评估。</w:t>
      </w:r>
    </w:p>
    <w:p w14:paraId="1E8CA38C">
      <w:pPr>
        <w:pStyle w:val="2"/>
        <w:spacing w:line="360" w:lineRule="auto"/>
        <w:ind w:firstLine="420" w:firstLineChars="200"/>
      </w:pPr>
      <w:r>
        <w:rPr>
          <w:rFonts w:hint="eastAsia"/>
        </w:rPr>
        <w:t>（4）社会稳定风险分析。对项目合法性、可行性、周边环境状况、周边敏感目标和历史矛盾、利益相关者意见和诉求、基层组织态度、媒体舆论导向、同类项目风险情况等进行分析。</w:t>
      </w:r>
    </w:p>
    <w:p w14:paraId="711C2D9A">
      <w:pPr>
        <w:pStyle w:val="2"/>
        <w:spacing w:line="360" w:lineRule="auto"/>
        <w:ind w:firstLine="420" w:firstLineChars="200"/>
      </w:pPr>
      <w:r>
        <w:rPr>
          <w:rFonts w:hint="eastAsia"/>
        </w:rPr>
        <w:t>（5）社会稳定风险因素识别。介绍风险的概念和特征、项目潜在的风险因素、识别项目风险因素、估计单因素风险、识别项目风险及后果。</w:t>
      </w:r>
    </w:p>
    <w:p w14:paraId="54422657">
      <w:pPr>
        <w:pStyle w:val="2"/>
        <w:spacing w:line="360" w:lineRule="auto"/>
        <w:ind w:firstLine="420" w:firstLineChars="200"/>
      </w:pPr>
      <w:r>
        <w:rPr>
          <w:rFonts w:hint="eastAsia"/>
        </w:rPr>
        <w:t>（6）社会稳定风险防范与化解措施。对各类识别出的社会稳定风险提出相应的防范及化解措施</w:t>
      </w:r>
    </w:p>
    <w:p w14:paraId="542A233A">
      <w:pPr>
        <w:pStyle w:val="2"/>
        <w:spacing w:line="360" w:lineRule="auto"/>
        <w:ind w:firstLine="420" w:firstLineChars="200"/>
      </w:pPr>
      <w:r>
        <w:rPr>
          <w:rFonts w:hint="eastAsia"/>
        </w:rPr>
        <w:t>（7）风险等级综合评估。进行单因素风险评判、综合风险指数评判、项目风险等级评判。</w:t>
      </w:r>
    </w:p>
    <w:p w14:paraId="7468EF4E">
      <w:pPr>
        <w:pStyle w:val="7"/>
        <w:ind w:firstLine="402"/>
      </w:pPr>
      <w:r>
        <w:rPr>
          <w:rFonts w:hint="eastAsia"/>
        </w:rPr>
        <w:t>5、市政专章（含竖向工程专章）</w:t>
      </w:r>
    </w:p>
    <w:p w14:paraId="321E5F94">
      <w:pPr>
        <w:spacing w:line="360" w:lineRule="auto"/>
        <w:ind w:firstLine="420" w:firstLineChars="200"/>
      </w:pPr>
      <w:r>
        <w:rPr>
          <w:rFonts w:hint="eastAsia"/>
        </w:rPr>
        <w:t>根据《控制性详细规划市政基础设施专章上会材料模板（修订稿）》要求，编制市政基础设施专章，包含给水、污水、雨水、电力、通信、燃气、环卫、消防、综合管廊专业，主要内容包括：</w:t>
      </w:r>
    </w:p>
    <w:p w14:paraId="4FC43D44">
      <w:pPr>
        <w:spacing w:line="360" w:lineRule="auto"/>
        <w:ind w:firstLine="420" w:firstLineChars="200"/>
      </w:pPr>
      <w:r>
        <w:rPr>
          <w:rFonts w:hint="eastAsia"/>
        </w:rPr>
        <w:t>（1）规划范围及周边现状市政基础设施规模、位置梳理及承载力评估；</w:t>
      </w:r>
    </w:p>
    <w:p w14:paraId="7D01914F">
      <w:pPr>
        <w:spacing w:line="360" w:lineRule="auto"/>
        <w:ind w:firstLine="420" w:firstLineChars="200"/>
      </w:pPr>
      <w:r>
        <w:rPr>
          <w:rFonts w:hint="eastAsia"/>
        </w:rPr>
        <w:t>（2）根据控制性详细规划用地、人口对规划范围的市政需求进行预测。</w:t>
      </w:r>
    </w:p>
    <w:p w14:paraId="119292BF">
      <w:pPr>
        <w:spacing w:line="360" w:lineRule="auto"/>
        <w:ind w:firstLine="420" w:firstLineChars="200"/>
      </w:pPr>
      <w:r>
        <w:rPr>
          <w:rFonts w:hint="eastAsia"/>
        </w:rPr>
        <w:t>（3）根据市政需求预测情况，确定市政基础设施规划布局、用地边界和设施规模，并核实与黄线规划的符合性。</w:t>
      </w:r>
    </w:p>
    <w:p w14:paraId="027C2DAC">
      <w:pPr>
        <w:spacing w:line="360" w:lineRule="auto"/>
        <w:ind w:firstLine="420" w:firstLineChars="200"/>
      </w:pPr>
      <w:r>
        <w:rPr>
          <w:rFonts w:hint="eastAsia"/>
        </w:rPr>
        <w:t>（4）根据市政基础设施规划，结合控制性详细规划路网、地下空间、轨道交通、河湖水系等规划情况，规划市政各专业管线，确定管线建设形式、规模，并核对管线与《广州市片区地下管线详细规划（海珠片区）》的衔接情况。</w:t>
      </w:r>
    </w:p>
    <w:p w14:paraId="6D0E4EED">
      <w:pPr>
        <w:spacing w:line="360" w:lineRule="auto"/>
        <w:ind w:firstLine="420" w:firstLineChars="200"/>
      </w:pPr>
      <w:r>
        <w:rPr>
          <w:rFonts w:hint="eastAsia"/>
        </w:rPr>
        <w:t>控制性详细规划竖向工程规划专章内容：</w:t>
      </w:r>
    </w:p>
    <w:p w14:paraId="16BC6820">
      <w:pPr>
        <w:spacing w:line="360" w:lineRule="auto"/>
        <w:ind w:firstLine="420" w:firstLineChars="200"/>
      </w:pPr>
      <w:r>
        <w:rPr>
          <w:rFonts w:hint="eastAsia"/>
        </w:rPr>
        <w:t>根据《广州市规划和自然资源局关于竖向规划成果上网及应用的通知》《新编、修编、修改控制性详细规划市政基础设施专章、竖向规划专篇审核意见模板》，编制竖向工程规划专章，主要内容包括：</w:t>
      </w:r>
    </w:p>
    <w:p w14:paraId="1D163072">
      <w:pPr>
        <w:spacing w:line="360" w:lineRule="auto"/>
        <w:ind w:firstLine="420" w:firstLineChars="200"/>
      </w:pPr>
      <w:r>
        <w:rPr>
          <w:rFonts w:hint="eastAsia"/>
        </w:rPr>
        <w:t>（1）规划道路交叉点的现状竖向标高和规划竖向标高；</w:t>
      </w:r>
    </w:p>
    <w:p w14:paraId="58F3A025">
      <w:pPr>
        <w:spacing w:line="360" w:lineRule="auto"/>
        <w:ind w:firstLine="420" w:firstLineChars="200"/>
      </w:pPr>
      <w:r>
        <w:rPr>
          <w:rFonts w:hint="eastAsia"/>
        </w:rPr>
        <w:t>（2）规划地块场地竖向底线标高；</w:t>
      </w:r>
    </w:p>
    <w:p w14:paraId="0F4DB850">
      <w:pPr>
        <w:spacing w:line="360" w:lineRule="auto"/>
        <w:ind w:firstLine="420" w:firstLineChars="200"/>
      </w:pPr>
      <w:r>
        <w:rPr>
          <w:rFonts w:hint="eastAsia"/>
        </w:rPr>
        <w:t>（3）按照竖向规划成果上网要求，制作上网数据文件。</w:t>
      </w:r>
    </w:p>
    <w:p w14:paraId="6082F945">
      <w:pPr>
        <w:pStyle w:val="7"/>
        <w:ind w:firstLine="402"/>
      </w:pPr>
      <w:bookmarkStart w:id="8" w:name="OLE_LINK6"/>
      <w:r>
        <w:rPr>
          <w:rFonts w:hint="eastAsia"/>
        </w:rPr>
        <w:t>6、洪涝安全评估（含海绵城市建设专章）</w:t>
      </w:r>
    </w:p>
    <w:bookmarkEnd w:id="8"/>
    <w:p w14:paraId="4EC80CCA">
      <w:pPr>
        <w:spacing w:line="360" w:lineRule="auto"/>
        <w:ind w:firstLine="420" w:firstLineChars="200"/>
      </w:pPr>
      <w:r>
        <w:rPr>
          <w:rFonts w:hint="eastAsia"/>
        </w:rPr>
        <w:t>根据《广州市水务局关于修订印发广州市海绵城市建设-洪涝安全评估技术指引的通知》，编制洪涝安全评估和海绵城市专章，主要内容包括：</w:t>
      </w:r>
    </w:p>
    <w:p w14:paraId="7D8A1426">
      <w:pPr>
        <w:spacing w:line="360" w:lineRule="auto"/>
        <w:ind w:firstLine="420" w:firstLineChars="200"/>
      </w:pPr>
      <w:r>
        <w:rPr>
          <w:rFonts w:hint="eastAsia"/>
        </w:rPr>
        <w:t>（1）洪涝安全评估内容包括项目基本情况、防洪排涝标准评估、河涌水系评估、海绵城市建设规划指标、排水（雨水）工程评估、竖向方案评估、结论及建议等内容。</w:t>
      </w:r>
    </w:p>
    <w:p w14:paraId="79D639F1">
      <w:pPr>
        <w:spacing w:line="360" w:lineRule="auto"/>
        <w:ind w:firstLine="420" w:firstLineChars="200"/>
      </w:pPr>
      <w:r>
        <w:rPr>
          <w:rFonts w:hint="eastAsia"/>
        </w:rPr>
        <w:t>（2）海绵城市专章内容包括规划范围年径流控制率等海绵管控目标指标规划，海绵城市调蓄设施规划、两图一表等。</w:t>
      </w:r>
    </w:p>
    <w:p w14:paraId="545D5337">
      <w:pPr>
        <w:pStyle w:val="7"/>
        <w:ind w:firstLine="402"/>
      </w:pPr>
      <w:r>
        <w:t>7</w:t>
      </w:r>
      <w:r>
        <w:rPr>
          <w:rFonts w:hint="eastAsia"/>
        </w:rPr>
        <w:t>、树木保护专章</w:t>
      </w:r>
    </w:p>
    <w:p w14:paraId="6884D86A">
      <w:pPr>
        <w:pStyle w:val="128"/>
        <w:spacing w:line="360" w:lineRule="auto"/>
        <w:ind w:firstLine="380"/>
        <w:jc w:val="both"/>
        <w:rPr>
          <w:rFonts w:hint="default" w:ascii="Times New Roman" w:hAnsi="Times New Roman"/>
          <w:kern w:val="2"/>
          <w:sz w:val="21"/>
          <w:szCs w:val="22"/>
          <w:lang w:eastAsia="zh-CN"/>
        </w:rPr>
      </w:pPr>
      <w:r>
        <w:rPr>
          <w:rFonts w:ascii="Times New Roman" w:hAnsi="Times New Roman"/>
          <w:kern w:val="2"/>
          <w:sz w:val="21"/>
          <w:szCs w:val="22"/>
          <w:lang w:eastAsia="zh-CN"/>
        </w:rPr>
        <w:t>对规划范围的树木情况进行系统摸查，总体评估并各自形成保护利用方案。主要包括树木资源调查、评估与树木保护利用方案等内容，并符合《广州市城市树木保护专章编制指引》的要求。</w:t>
      </w:r>
    </w:p>
    <w:p w14:paraId="161F5EC3">
      <w:pPr>
        <w:pStyle w:val="128"/>
        <w:spacing w:line="360" w:lineRule="auto"/>
        <w:ind w:firstLine="380"/>
        <w:jc w:val="both"/>
        <w:rPr>
          <w:rFonts w:hint="default" w:ascii="Times New Roman" w:hAnsi="Times New Roman"/>
          <w:kern w:val="2"/>
          <w:sz w:val="21"/>
          <w:szCs w:val="22"/>
          <w:lang w:eastAsia="zh-CN"/>
        </w:rPr>
      </w:pPr>
      <w:r>
        <w:rPr>
          <w:rFonts w:ascii="Times New Roman" w:hAnsi="Times New Roman"/>
          <w:kern w:val="2"/>
          <w:sz w:val="21"/>
          <w:szCs w:val="22"/>
          <w:lang w:eastAsia="zh-CN"/>
        </w:rPr>
        <w:t>（1）树木资源调查</w:t>
      </w:r>
    </w:p>
    <w:p w14:paraId="757E6F0D">
      <w:pPr>
        <w:pStyle w:val="128"/>
        <w:spacing w:line="360" w:lineRule="auto"/>
        <w:ind w:firstLine="380"/>
        <w:jc w:val="both"/>
        <w:rPr>
          <w:rFonts w:hint="default" w:ascii="Times New Roman" w:hAnsi="Times New Roman"/>
          <w:kern w:val="2"/>
          <w:sz w:val="21"/>
          <w:szCs w:val="22"/>
          <w:lang w:eastAsia="zh-CN"/>
        </w:rPr>
      </w:pPr>
      <w:r>
        <w:rPr>
          <w:rFonts w:ascii="Times New Roman" w:hAnsi="Times New Roman"/>
          <w:kern w:val="2"/>
          <w:sz w:val="21"/>
          <w:szCs w:val="22"/>
          <w:lang w:eastAsia="zh-CN"/>
        </w:rPr>
        <w:t>依据国家、省市有关法规和文件要求，通过外业测绘、调查及内业数据整理，对范围内的现有绿地、连片成林树木、古树名木及古树后续资源的现状进行摸查。普查对象具体包括：范围内的现有绿地（范围、面积）；连片成林树木（范围、面积、主体树种）；古树名木及古树后续资源的现状（树种、数量、坐标、生长状况、立地条件、保护设施现状等）；</w:t>
      </w:r>
    </w:p>
    <w:p w14:paraId="741EE282">
      <w:pPr>
        <w:pStyle w:val="128"/>
        <w:spacing w:line="360" w:lineRule="auto"/>
        <w:ind w:firstLine="380"/>
        <w:jc w:val="both"/>
        <w:rPr>
          <w:rFonts w:hint="default" w:ascii="Times New Roman" w:hAnsi="Times New Roman"/>
          <w:kern w:val="2"/>
          <w:sz w:val="21"/>
          <w:szCs w:val="22"/>
          <w:lang w:eastAsia="zh-CN"/>
        </w:rPr>
      </w:pPr>
      <w:r>
        <w:rPr>
          <w:rFonts w:ascii="Times New Roman" w:hAnsi="Times New Roman"/>
          <w:kern w:val="2"/>
          <w:sz w:val="21"/>
          <w:szCs w:val="22"/>
          <w:lang w:eastAsia="zh-CN"/>
        </w:rPr>
        <w:t>（2）评估与树木保护利用建议</w:t>
      </w:r>
    </w:p>
    <w:p w14:paraId="1603627C">
      <w:pPr>
        <w:pStyle w:val="128"/>
        <w:spacing w:line="360" w:lineRule="auto"/>
        <w:ind w:firstLine="380"/>
        <w:jc w:val="both"/>
        <w:rPr>
          <w:rFonts w:hint="default" w:ascii="Times New Roman" w:hAnsi="Times New Roman"/>
          <w:kern w:val="2"/>
          <w:sz w:val="21"/>
          <w:szCs w:val="22"/>
          <w:lang w:eastAsia="zh-CN"/>
        </w:rPr>
      </w:pPr>
      <w:r>
        <w:rPr>
          <w:rFonts w:ascii="Times New Roman" w:hAnsi="Times New Roman"/>
          <w:kern w:val="2"/>
          <w:sz w:val="21"/>
          <w:szCs w:val="22"/>
          <w:lang w:eastAsia="zh-CN"/>
        </w:rPr>
        <w:t>基于树木资源调查结果，结合相关规划及控规方案对范围内的树木情况进行系统梳理，并提出保护措施建议。</w:t>
      </w:r>
    </w:p>
    <w:p w14:paraId="3969D380">
      <w:pPr>
        <w:pStyle w:val="5"/>
        <w:keepNext w:val="0"/>
        <w:keepLines w:val="0"/>
        <w:wordWrap w:val="0"/>
        <w:snapToGrid w:val="0"/>
        <w:spacing w:before="0" w:after="0" w:line="360" w:lineRule="auto"/>
        <w:rPr>
          <w:rFonts w:ascii="宋体" w:hAnsi="宋体" w:cs="宋体"/>
        </w:rPr>
      </w:pPr>
      <w:r>
        <w:rPr>
          <w:rFonts w:hint="eastAsia" w:ascii="宋体" w:hAnsi="宋体" w:cs="宋体"/>
        </w:rPr>
        <w:t>2</w:t>
      </w:r>
      <w:r>
        <w:rPr>
          <w:rFonts w:ascii="宋体" w:hAnsi="宋体" w:cs="宋体"/>
        </w:rPr>
        <w:t>、工期要求</w:t>
      </w:r>
    </w:p>
    <w:p w14:paraId="3CCD379E">
      <w:pPr>
        <w:wordWrap w:val="0"/>
        <w:snapToGrid w:val="0"/>
        <w:spacing w:line="360" w:lineRule="auto"/>
        <w:ind w:firstLine="420" w:firstLineChars="200"/>
        <w:rPr>
          <w:rFonts w:ascii="宋体" w:hAnsi="宋体" w:cs="宋体"/>
        </w:rPr>
      </w:pPr>
      <w:r>
        <w:rPr>
          <w:rFonts w:ascii="宋体" w:hAnsi="宋体" w:cs="宋体"/>
        </w:rPr>
        <w:t>本项目拟于合同签订日起</w:t>
      </w:r>
      <w:r>
        <w:rPr>
          <w:rFonts w:hint="eastAsia" w:ascii="宋体" w:hAnsi="宋体" w:cs="宋体"/>
        </w:rPr>
        <w:t>5</w:t>
      </w:r>
      <w:r>
        <w:rPr>
          <w:rFonts w:ascii="宋体" w:hAnsi="宋体" w:cs="宋体"/>
        </w:rPr>
        <w:t>个月内完成验收结题，各阶段工作计划如下：</w:t>
      </w:r>
    </w:p>
    <w:p w14:paraId="24C345B3">
      <w:pPr>
        <w:wordWrap w:val="0"/>
        <w:snapToGrid w:val="0"/>
        <w:spacing w:line="360" w:lineRule="auto"/>
        <w:ind w:firstLine="420" w:firstLineChars="200"/>
        <w:rPr>
          <w:rFonts w:ascii="宋体" w:hAnsi="宋体" w:cs="宋体"/>
        </w:rPr>
      </w:pPr>
      <w:r>
        <w:rPr>
          <w:rFonts w:ascii="宋体" w:hAnsi="宋体" w:cs="宋体"/>
        </w:rPr>
        <w:t>合同签订日起1个月内：编制完成</w:t>
      </w:r>
      <w:r>
        <w:rPr>
          <w:rFonts w:hint="eastAsia" w:ascii="宋体" w:hAnsi="宋体" w:cs="宋体"/>
        </w:rPr>
        <w:t>初步成果</w:t>
      </w:r>
      <w:r>
        <w:rPr>
          <w:rFonts w:ascii="宋体" w:hAnsi="宋体" w:cs="宋体"/>
        </w:rPr>
        <w:t>；</w:t>
      </w:r>
    </w:p>
    <w:p w14:paraId="75DC1392">
      <w:pPr>
        <w:wordWrap w:val="0"/>
        <w:snapToGrid w:val="0"/>
        <w:spacing w:line="360" w:lineRule="auto"/>
        <w:ind w:firstLine="420" w:firstLineChars="200"/>
        <w:rPr>
          <w:rFonts w:ascii="宋体" w:hAnsi="宋体" w:cs="宋体"/>
        </w:rPr>
      </w:pPr>
      <w:r>
        <w:rPr>
          <w:rFonts w:ascii="宋体" w:hAnsi="宋体" w:cs="宋体"/>
        </w:rPr>
        <w:t>合同签订日起3个月内：编制完成</w:t>
      </w:r>
      <w:r>
        <w:rPr>
          <w:rFonts w:hint="eastAsia" w:ascii="宋体" w:hAnsi="宋体" w:cs="宋体"/>
        </w:rPr>
        <w:t>中期成果</w:t>
      </w:r>
      <w:r>
        <w:rPr>
          <w:rFonts w:ascii="宋体" w:hAnsi="宋体" w:cs="宋体"/>
        </w:rPr>
        <w:t>；</w:t>
      </w:r>
    </w:p>
    <w:p w14:paraId="51BD72E7">
      <w:pPr>
        <w:wordWrap w:val="0"/>
        <w:snapToGrid w:val="0"/>
        <w:spacing w:line="360" w:lineRule="auto"/>
        <w:ind w:firstLine="420" w:firstLineChars="200"/>
        <w:rPr>
          <w:rFonts w:ascii="宋体" w:hAnsi="宋体" w:cs="宋体"/>
        </w:rPr>
      </w:pPr>
      <w:r>
        <w:rPr>
          <w:rFonts w:ascii="宋体" w:hAnsi="宋体" w:cs="宋体"/>
        </w:rPr>
        <w:t>合同签订日起5个月内：完善最终成果并验收结题。</w:t>
      </w:r>
    </w:p>
    <w:p w14:paraId="37CB3348">
      <w:pPr>
        <w:pStyle w:val="5"/>
        <w:keepNext w:val="0"/>
        <w:keepLines w:val="0"/>
        <w:wordWrap w:val="0"/>
        <w:snapToGrid w:val="0"/>
        <w:spacing w:before="0" w:after="0" w:line="360" w:lineRule="auto"/>
        <w:rPr>
          <w:rFonts w:ascii="宋体" w:hAnsi="宋体" w:cs="宋体"/>
        </w:rPr>
      </w:pPr>
      <w:r>
        <w:rPr>
          <w:rFonts w:hint="eastAsia" w:ascii="宋体" w:hAnsi="宋体" w:cs="宋体"/>
        </w:rPr>
        <w:t>3</w:t>
      </w:r>
      <w:r>
        <w:rPr>
          <w:rFonts w:ascii="宋体" w:hAnsi="宋体" w:cs="宋体"/>
        </w:rPr>
        <w:t>、成果要求</w:t>
      </w:r>
    </w:p>
    <w:p w14:paraId="1BF58B49">
      <w:pPr>
        <w:wordWrap w:val="0"/>
        <w:snapToGrid w:val="0"/>
        <w:spacing w:line="360" w:lineRule="auto"/>
        <w:ind w:firstLine="420" w:firstLineChars="200"/>
        <w:rPr>
          <w:rFonts w:ascii="宋体" w:hAnsi="宋体" w:cs="宋体"/>
        </w:rPr>
      </w:pPr>
      <w:r>
        <w:rPr>
          <w:rFonts w:hint="eastAsia" w:ascii="宋体" w:hAnsi="宋体" w:cs="宋体"/>
        </w:rPr>
        <w:t>（1）</w:t>
      </w:r>
      <w:r>
        <w:rPr>
          <w:rFonts w:ascii="宋体" w:hAnsi="宋体" w:cs="宋体"/>
        </w:rPr>
        <w:t>验收标准</w:t>
      </w:r>
    </w:p>
    <w:p w14:paraId="5B890C58">
      <w:pPr>
        <w:wordWrap w:val="0"/>
        <w:snapToGrid w:val="0"/>
        <w:spacing w:line="360" w:lineRule="auto"/>
        <w:ind w:firstLine="420" w:firstLineChars="200"/>
        <w:rPr>
          <w:rFonts w:ascii="宋体" w:hAnsi="宋体" w:cs="宋体"/>
        </w:rPr>
      </w:pPr>
      <w:r>
        <w:rPr>
          <w:rFonts w:ascii="宋体" w:hAnsi="宋体" w:cs="宋体"/>
        </w:rPr>
        <w:t>中标人提交成果后，经专家评审会或者成果验收会进行评审，以专家评审会或者成果验收会的结果作为最终验收依据。</w:t>
      </w:r>
    </w:p>
    <w:p w14:paraId="703F9043">
      <w:pPr>
        <w:wordWrap w:val="0"/>
        <w:snapToGrid w:val="0"/>
        <w:spacing w:line="360" w:lineRule="auto"/>
        <w:ind w:firstLine="420" w:firstLineChars="200"/>
        <w:rPr>
          <w:rFonts w:ascii="宋体" w:hAnsi="宋体" w:cs="宋体"/>
        </w:rPr>
      </w:pPr>
      <w:r>
        <w:rPr>
          <w:rFonts w:hint="eastAsia" w:ascii="宋体" w:hAnsi="宋体" w:cs="宋体"/>
        </w:rPr>
        <w:t>（2）</w:t>
      </w:r>
      <w:r>
        <w:rPr>
          <w:rFonts w:ascii="宋体" w:hAnsi="宋体" w:cs="宋体"/>
        </w:rPr>
        <w:t>成果形式</w:t>
      </w:r>
    </w:p>
    <w:p w14:paraId="75136ECE">
      <w:pPr>
        <w:wordWrap w:val="0"/>
        <w:snapToGrid w:val="0"/>
        <w:spacing w:line="360" w:lineRule="auto"/>
        <w:ind w:firstLine="420" w:firstLineChars="200"/>
        <w:rPr>
          <w:rFonts w:ascii="宋体" w:hAnsi="宋体" w:cs="宋体"/>
        </w:rPr>
      </w:pPr>
      <w:r>
        <w:rPr>
          <w:rFonts w:ascii="宋体" w:hAnsi="宋体" w:cs="宋体"/>
        </w:rPr>
        <w:t>项目成果形式包括纸质文档和电子文档。成果数量依据各项目具体要求而定。</w:t>
      </w:r>
    </w:p>
    <w:p w14:paraId="0BB0D597">
      <w:pPr>
        <w:wordWrap w:val="0"/>
        <w:snapToGrid w:val="0"/>
        <w:spacing w:line="360" w:lineRule="auto"/>
        <w:ind w:firstLine="420" w:firstLineChars="200"/>
        <w:rPr>
          <w:rFonts w:ascii="宋体" w:hAnsi="宋体" w:cs="宋体"/>
        </w:rPr>
      </w:pPr>
      <w:r>
        <w:rPr>
          <w:rFonts w:hint="eastAsia" w:ascii="宋体" w:hAnsi="宋体" w:cs="宋体"/>
        </w:rPr>
        <w:t>纸质文档</w:t>
      </w:r>
      <w:r>
        <w:rPr>
          <w:rFonts w:ascii="宋体" w:hAnsi="宋体" w:cs="宋体"/>
        </w:rPr>
        <w:t>规格为A4（297mm×210mm）或A3（297mm×420mm），并力求清晰、完整，标注齐全、准确，同类图纸规格尽量统一。文本和图则合订为一本完整的书面成果。</w:t>
      </w:r>
    </w:p>
    <w:p w14:paraId="3B940D7B">
      <w:pPr>
        <w:wordWrap w:val="0"/>
        <w:snapToGrid w:val="0"/>
        <w:spacing w:line="360" w:lineRule="auto"/>
        <w:ind w:firstLine="420" w:firstLineChars="200"/>
        <w:rPr>
          <w:rFonts w:ascii="宋体" w:hAnsi="宋体" w:cs="宋体"/>
        </w:rPr>
      </w:pPr>
      <w:r>
        <w:rPr>
          <w:rFonts w:ascii="宋体" w:hAnsi="宋体" w:cs="宋体"/>
        </w:rPr>
        <w:t>电子文档以光盘形式提供，文本文件采用word或pdf或ppt格式文件，图形（包括效果图）文件采用dwg或</w:t>
      </w:r>
      <w:r>
        <w:rPr>
          <w:rFonts w:ascii="宋体" w:hAnsi="宋体"/>
          <w:sz w:val="24"/>
          <w:szCs w:val="24"/>
        </w:rPr>
        <w:t>shp</w:t>
      </w:r>
      <w:r>
        <w:rPr>
          <w:rFonts w:hint="eastAsia" w:ascii="宋体" w:hAnsi="宋体"/>
          <w:sz w:val="24"/>
          <w:szCs w:val="24"/>
        </w:rPr>
        <w:t>或</w:t>
      </w:r>
      <w:r>
        <w:rPr>
          <w:rFonts w:ascii="宋体" w:hAnsi="宋体" w:cs="宋体"/>
        </w:rPr>
        <w:t>jpg格式文件，成果计算机数据若涉及空间坐标，应建立广州坐标2000体系。</w:t>
      </w:r>
    </w:p>
    <w:p w14:paraId="27ED1584">
      <w:pPr>
        <w:pStyle w:val="4"/>
        <w:keepNext w:val="0"/>
        <w:keepLines w:val="0"/>
        <w:snapToGrid w:val="0"/>
        <w:spacing w:line="360" w:lineRule="auto"/>
        <w:jc w:val="left"/>
        <w:rPr>
          <w:rFonts w:ascii="宋体" w:hAnsi="宋体" w:eastAsia="宋体" w:cs="宋体"/>
        </w:rPr>
      </w:pPr>
      <w:r>
        <w:rPr>
          <w:rFonts w:hint="eastAsia" w:ascii="宋体" w:hAnsi="宋体" w:eastAsia="宋体" w:cs="宋体"/>
        </w:rPr>
        <w:t>三、费用支付</w:t>
      </w:r>
    </w:p>
    <w:p w14:paraId="26DD533A">
      <w:pPr>
        <w:pStyle w:val="5"/>
        <w:keepNext w:val="0"/>
        <w:keepLines w:val="0"/>
        <w:wordWrap w:val="0"/>
        <w:snapToGrid w:val="0"/>
        <w:spacing w:before="0" w:after="0" w:line="360" w:lineRule="auto"/>
        <w:rPr>
          <w:rFonts w:ascii="宋体" w:hAnsi="宋体" w:cs="宋体"/>
        </w:rPr>
      </w:pPr>
      <w:r>
        <w:rPr>
          <w:rFonts w:hint="eastAsia" w:ascii="宋体" w:hAnsi="宋体" w:cs="宋体"/>
        </w:rPr>
        <w:t>1、项目费用</w:t>
      </w:r>
    </w:p>
    <w:p w14:paraId="3E0A395D">
      <w:pPr>
        <w:wordWrap w:val="0"/>
        <w:snapToGrid w:val="0"/>
        <w:spacing w:line="360" w:lineRule="auto"/>
        <w:ind w:firstLine="420" w:firstLineChars="200"/>
        <w:rPr>
          <w:rFonts w:ascii="宋体" w:hAnsi="宋体" w:cs="宋体"/>
        </w:rPr>
      </w:pPr>
      <w:r>
        <w:rPr>
          <w:rFonts w:ascii="宋体" w:hAnsi="宋体" w:cs="宋体"/>
        </w:rPr>
        <w:t>本项目最高限价为人民币</w:t>
      </w:r>
      <w:r>
        <w:rPr>
          <w:rFonts w:hint="eastAsia" w:ascii="宋体" w:hAnsi="宋体" w:cs="宋体"/>
        </w:rPr>
        <w:t>壹仟肆佰万</w:t>
      </w:r>
      <w:r>
        <w:rPr>
          <w:rFonts w:ascii="宋体" w:hAnsi="宋体" w:cs="宋体"/>
        </w:rPr>
        <w:t>整（¥ 14,000,000.00元）。本项目的咨询费总额为本项目的财政预算金额乘以投标人报出的统一折扣予以确定。</w:t>
      </w:r>
    </w:p>
    <w:p w14:paraId="7ADEAE8E">
      <w:pPr>
        <w:wordWrap w:val="0"/>
        <w:snapToGrid w:val="0"/>
        <w:spacing w:line="360" w:lineRule="auto"/>
        <w:ind w:firstLine="420" w:firstLineChars="200"/>
        <w:rPr>
          <w:rFonts w:ascii="宋体" w:hAnsi="宋体" w:cs="宋体"/>
        </w:rPr>
      </w:pPr>
      <w:r>
        <w:rPr>
          <w:rFonts w:ascii="宋体" w:hAnsi="宋体" w:cs="宋体"/>
        </w:rPr>
        <w:t>★投标人报出统一的折扣（%）。0＜折扣≤100％，折扣必须为固定报价，报价不得为区间值（如80％-90％）。</w:t>
      </w:r>
    </w:p>
    <w:tbl>
      <w:tblPr>
        <w:tblStyle w:val="36"/>
        <w:tblW w:w="5000" w:type="pct"/>
        <w:tblInd w:w="0" w:type="dxa"/>
        <w:tblLayout w:type="autofit"/>
        <w:tblCellMar>
          <w:top w:w="0" w:type="dxa"/>
          <w:left w:w="0" w:type="dxa"/>
          <w:bottom w:w="0" w:type="dxa"/>
          <w:right w:w="0" w:type="dxa"/>
        </w:tblCellMar>
      </w:tblPr>
      <w:tblGrid>
        <w:gridCol w:w="421"/>
        <w:gridCol w:w="1278"/>
        <w:gridCol w:w="995"/>
        <w:gridCol w:w="852"/>
        <w:gridCol w:w="5534"/>
      </w:tblGrid>
      <w:tr w14:paraId="02223ED6">
        <w:tblPrEx>
          <w:tblCellMar>
            <w:top w:w="0" w:type="dxa"/>
            <w:left w:w="0" w:type="dxa"/>
            <w:bottom w:w="0" w:type="dxa"/>
            <w:right w:w="0" w:type="dxa"/>
          </w:tblCellMar>
        </w:tblPrEx>
        <w:trPr>
          <w:trHeight w:val="735" w:hRule="atLeast"/>
          <w:tblHeader/>
        </w:trPr>
        <w:tc>
          <w:tcPr>
            <w:tcW w:w="936" w:type="pct"/>
            <w:gridSpan w:val="2"/>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14:paraId="11B6EA40">
            <w:pPr>
              <w:widowControl/>
              <w:jc w:val="center"/>
              <w:rPr>
                <w:rFonts w:ascii="仿宋_GB2312" w:hAnsi="等线" w:eastAsia="仿宋_GB2312" w:cs="宋体"/>
                <w:b/>
                <w:color w:val="000000"/>
                <w:kern w:val="0"/>
                <w:sz w:val="24"/>
                <w:szCs w:val="24"/>
              </w:rPr>
            </w:pPr>
            <w:r>
              <w:rPr>
                <w:rFonts w:hint="eastAsia" w:ascii="仿宋_GB2312" w:hAnsi="等线" w:eastAsia="仿宋_GB2312" w:cs="宋体"/>
                <w:b/>
                <w:color w:val="000000"/>
                <w:kern w:val="0"/>
                <w:sz w:val="24"/>
                <w:szCs w:val="24"/>
              </w:rPr>
              <w:t>工作内容</w:t>
            </w:r>
          </w:p>
        </w:tc>
        <w:tc>
          <w:tcPr>
            <w:tcW w:w="548" w:type="pct"/>
            <w:tcBorders>
              <w:top w:val="single" w:color="auto" w:sz="4" w:space="0"/>
              <w:left w:val="nil"/>
              <w:bottom w:val="single" w:color="auto" w:sz="4" w:space="0"/>
              <w:right w:val="single" w:color="auto" w:sz="4" w:space="0"/>
            </w:tcBorders>
            <w:shd w:val="clear" w:color="auto" w:fill="D0CECE" w:themeFill="background2" w:themeFillShade="E6"/>
            <w:vAlign w:val="center"/>
          </w:tcPr>
          <w:p w14:paraId="3570BFBA">
            <w:pPr>
              <w:widowControl/>
              <w:jc w:val="center"/>
              <w:rPr>
                <w:rFonts w:ascii="仿宋_GB2312" w:hAnsi="等线" w:eastAsia="仿宋_GB2312" w:cs="宋体"/>
                <w:b/>
                <w:color w:val="000000"/>
                <w:kern w:val="0"/>
                <w:sz w:val="24"/>
                <w:szCs w:val="24"/>
              </w:rPr>
            </w:pPr>
            <w:r>
              <w:rPr>
                <w:rFonts w:hint="eastAsia" w:ascii="仿宋_GB2312" w:hAnsi="等线" w:eastAsia="仿宋_GB2312" w:cs="宋体"/>
                <w:b/>
                <w:color w:val="000000"/>
                <w:kern w:val="0"/>
                <w:sz w:val="24"/>
                <w:szCs w:val="24"/>
              </w:rPr>
              <w:t>面积</w:t>
            </w:r>
          </w:p>
          <w:p w14:paraId="1BA472BF">
            <w:pPr>
              <w:widowControl/>
              <w:jc w:val="center"/>
              <w:rPr>
                <w:rFonts w:ascii="仿宋_GB2312" w:hAnsi="等线" w:eastAsia="仿宋_GB2312" w:cs="宋体"/>
                <w:b/>
                <w:color w:val="000000"/>
                <w:kern w:val="0"/>
                <w:sz w:val="24"/>
                <w:szCs w:val="24"/>
              </w:rPr>
            </w:pPr>
            <w:r>
              <w:rPr>
                <w:rFonts w:hint="eastAsia" w:ascii="仿宋_GB2312" w:hAnsi="等线" w:eastAsia="仿宋_GB2312" w:cs="宋体"/>
                <w:b/>
                <w:color w:val="000000"/>
                <w:kern w:val="0"/>
                <w:sz w:val="24"/>
                <w:szCs w:val="24"/>
              </w:rPr>
              <w:t>（公顷）</w:t>
            </w:r>
          </w:p>
        </w:tc>
        <w:tc>
          <w:tcPr>
            <w:tcW w:w="469" w:type="pct"/>
            <w:tcBorders>
              <w:top w:val="single" w:color="auto" w:sz="4" w:space="0"/>
              <w:left w:val="nil"/>
              <w:bottom w:val="single" w:color="auto" w:sz="4" w:space="0"/>
              <w:right w:val="single" w:color="auto" w:sz="4" w:space="0"/>
            </w:tcBorders>
            <w:shd w:val="clear" w:color="auto" w:fill="D0CECE" w:themeFill="background2" w:themeFillShade="E6"/>
            <w:vAlign w:val="center"/>
          </w:tcPr>
          <w:p w14:paraId="0235038F">
            <w:pPr>
              <w:widowControl/>
              <w:jc w:val="center"/>
              <w:rPr>
                <w:rFonts w:ascii="仿宋_GB2312" w:hAnsi="等线" w:eastAsia="仿宋_GB2312" w:cs="宋体"/>
                <w:b/>
                <w:color w:val="000000"/>
                <w:kern w:val="0"/>
                <w:sz w:val="24"/>
                <w:szCs w:val="24"/>
              </w:rPr>
            </w:pPr>
            <w:r>
              <w:rPr>
                <w:rFonts w:hint="eastAsia" w:ascii="仿宋_GB2312" w:hAnsi="等线" w:eastAsia="仿宋_GB2312" w:cs="宋体"/>
                <w:b/>
                <w:color w:val="000000"/>
                <w:kern w:val="0"/>
                <w:sz w:val="24"/>
                <w:szCs w:val="24"/>
              </w:rPr>
              <w:t>单项</w:t>
            </w:r>
          </w:p>
          <w:p w14:paraId="09BA702A">
            <w:pPr>
              <w:widowControl/>
              <w:jc w:val="center"/>
              <w:rPr>
                <w:rFonts w:ascii="仿宋_GB2312" w:hAnsi="等线" w:eastAsia="仿宋_GB2312" w:cs="宋体"/>
                <w:b/>
                <w:color w:val="000000"/>
                <w:kern w:val="0"/>
                <w:sz w:val="24"/>
                <w:szCs w:val="24"/>
              </w:rPr>
            </w:pPr>
            <w:r>
              <w:rPr>
                <w:rFonts w:hint="eastAsia" w:ascii="仿宋_GB2312" w:hAnsi="等线" w:eastAsia="仿宋_GB2312" w:cs="宋体"/>
                <w:b/>
                <w:color w:val="000000"/>
                <w:kern w:val="0"/>
                <w:sz w:val="24"/>
                <w:szCs w:val="24"/>
              </w:rPr>
              <w:t>费用</w:t>
            </w:r>
          </w:p>
        </w:tc>
        <w:tc>
          <w:tcPr>
            <w:tcW w:w="3047" w:type="pct"/>
            <w:tcBorders>
              <w:top w:val="single" w:color="auto" w:sz="4" w:space="0"/>
              <w:left w:val="nil"/>
              <w:bottom w:val="single" w:color="auto" w:sz="4" w:space="0"/>
              <w:right w:val="single" w:color="auto" w:sz="4" w:space="0"/>
            </w:tcBorders>
            <w:shd w:val="clear" w:color="auto" w:fill="D0CECE" w:themeFill="background2" w:themeFillShade="E6"/>
            <w:vAlign w:val="center"/>
          </w:tcPr>
          <w:p w14:paraId="1B0D4A50">
            <w:pPr>
              <w:widowControl/>
              <w:jc w:val="left"/>
              <w:rPr>
                <w:rFonts w:ascii="仿宋_GB2312" w:hAnsi="等线" w:eastAsia="仿宋_GB2312" w:cs="宋体"/>
                <w:b/>
                <w:color w:val="000000"/>
                <w:kern w:val="0"/>
                <w:sz w:val="24"/>
                <w:szCs w:val="24"/>
              </w:rPr>
            </w:pPr>
            <w:r>
              <w:rPr>
                <w:rFonts w:hint="eastAsia" w:ascii="仿宋_GB2312" w:hAnsi="等线" w:eastAsia="仿宋_GB2312" w:cs="宋体"/>
                <w:b/>
                <w:color w:val="000000"/>
                <w:kern w:val="0"/>
                <w:sz w:val="24"/>
                <w:szCs w:val="24"/>
              </w:rPr>
              <w:t>计费标准</w:t>
            </w:r>
          </w:p>
        </w:tc>
      </w:tr>
      <w:tr w14:paraId="79C088A1">
        <w:tblPrEx>
          <w:tblCellMar>
            <w:top w:w="0" w:type="dxa"/>
            <w:left w:w="0" w:type="dxa"/>
            <w:bottom w:w="0" w:type="dxa"/>
            <w:right w:w="0" w:type="dxa"/>
          </w:tblCellMar>
        </w:tblPrEx>
        <w:trPr>
          <w:trHeight w:val="765" w:hRule="atLeast"/>
        </w:trPr>
        <w:tc>
          <w:tcPr>
            <w:tcW w:w="232" w:type="pct"/>
            <w:tcBorders>
              <w:top w:val="nil"/>
              <w:left w:val="single" w:color="auto" w:sz="4" w:space="0"/>
              <w:bottom w:val="single" w:color="auto" w:sz="4" w:space="0"/>
              <w:right w:val="single" w:color="auto" w:sz="4" w:space="0"/>
            </w:tcBorders>
            <w:shd w:val="clear" w:color="000000" w:fill="D9D9D9"/>
            <w:vAlign w:val="center"/>
          </w:tcPr>
          <w:p w14:paraId="3689EC14">
            <w:pPr>
              <w:widowControl/>
              <w:jc w:val="center"/>
              <w:rPr>
                <w:rFonts w:ascii="仿宋_GB2312" w:hAnsi="等线" w:eastAsia="仿宋_GB2312" w:cs="宋体"/>
                <w:b/>
                <w:color w:val="000000"/>
                <w:kern w:val="0"/>
                <w:sz w:val="24"/>
                <w:szCs w:val="24"/>
              </w:rPr>
            </w:pPr>
            <w:r>
              <w:rPr>
                <w:rFonts w:hint="eastAsia" w:ascii="仿宋_GB2312" w:hAnsi="等线" w:eastAsia="仿宋_GB2312" w:cs="宋体"/>
                <w:b/>
                <w:color w:val="000000"/>
                <w:kern w:val="0"/>
                <w:sz w:val="24"/>
                <w:szCs w:val="24"/>
              </w:rPr>
              <w:t>一</w:t>
            </w:r>
          </w:p>
        </w:tc>
        <w:tc>
          <w:tcPr>
            <w:tcW w:w="704" w:type="pct"/>
            <w:tcBorders>
              <w:top w:val="nil"/>
              <w:left w:val="nil"/>
              <w:bottom w:val="nil"/>
              <w:right w:val="single" w:color="auto" w:sz="4" w:space="0"/>
            </w:tcBorders>
            <w:shd w:val="clear" w:color="000000" w:fill="D9D9D9"/>
            <w:vAlign w:val="center"/>
          </w:tcPr>
          <w:p w14:paraId="3207FEEC">
            <w:pPr>
              <w:widowControl/>
              <w:jc w:val="center"/>
              <w:rPr>
                <w:rFonts w:ascii="仿宋_GB2312" w:hAnsi="等线" w:eastAsia="仿宋_GB2312" w:cs="宋体"/>
                <w:b/>
                <w:color w:val="000000"/>
                <w:kern w:val="0"/>
                <w:sz w:val="24"/>
                <w:szCs w:val="24"/>
              </w:rPr>
            </w:pPr>
            <w:r>
              <w:rPr>
                <w:rFonts w:hint="eastAsia" w:ascii="仿宋_GB2312" w:hAnsi="等线" w:eastAsia="仿宋_GB2312" w:cs="宋体"/>
                <w:b/>
                <w:color w:val="000000"/>
                <w:kern w:val="0"/>
                <w:sz w:val="24"/>
                <w:szCs w:val="24"/>
              </w:rPr>
              <w:t>控规优化</w:t>
            </w:r>
          </w:p>
        </w:tc>
        <w:tc>
          <w:tcPr>
            <w:tcW w:w="548" w:type="pct"/>
            <w:tcBorders>
              <w:top w:val="nil"/>
              <w:left w:val="nil"/>
              <w:bottom w:val="nil"/>
              <w:right w:val="single" w:color="auto" w:sz="4" w:space="0"/>
            </w:tcBorders>
            <w:shd w:val="clear" w:color="000000" w:fill="D9D9D9"/>
            <w:vAlign w:val="center"/>
          </w:tcPr>
          <w:p w14:paraId="485209AF">
            <w:pPr>
              <w:widowControl/>
              <w:jc w:val="center"/>
              <w:rPr>
                <w:rFonts w:ascii="仿宋_GB2312" w:hAnsi="等线" w:eastAsia="仿宋_GB2312" w:cs="宋体"/>
                <w:b/>
                <w:bCs/>
                <w:kern w:val="0"/>
                <w:sz w:val="24"/>
                <w:szCs w:val="24"/>
              </w:rPr>
            </w:pPr>
            <w:r>
              <w:rPr>
                <w:rFonts w:hint="eastAsia" w:ascii="仿宋_GB2312" w:hAnsi="等线" w:eastAsia="仿宋_GB2312" w:cs="宋体"/>
                <w:b/>
                <w:bCs/>
                <w:kern w:val="0"/>
                <w:sz w:val="24"/>
                <w:szCs w:val="24"/>
              </w:rPr>
              <w:t>——</w:t>
            </w:r>
          </w:p>
        </w:tc>
        <w:tc>
          <w:tcPr>
            <w:tcW w:w="469" w:type="pct"/>
            <w:tcBorders>
              <w:top w:val="nil"/>
              <w:left w:val="nil"/>
              <w:bottom w:val="nil"/>
              <w:right w:val="single" w:color="auto" w:sz="4" w:space="0"/>
            </w:tcBorders>
            <w:shd w:val="clear" w:color="000000" w:fill="D9D9D9"/>
            <w:vAlign w:val="center"/>
          </w:tcPr>
          <w:p w14:paraId="15356E01">
            <w:pPr>
              <w:widowControl/>
              <w:jc w:val="center"/>
              <w:rPr>
                <w:rFonts w:ascii="仿宋_GB2312" w:hAnsi="等线" w:eastAsia="仿宋_GB2312" w:cs="宋体"/>
                <w:b/>
                <w:bCs/>
                <w:kern w:val="0"/>
                <w:sz w:val="24"/>
                <w:szCs w:val="24"/>
              </w:rPr>
            </w:pPr>
            <w:r>
              <w:rPr>
                <w:rFonts w:ascii="仿宋_GB2312" w:hAnsi="等线" w:eastAsia="仿宋_GB2312" w:cs="宋体"/>
                <w:b/>
                <w:bCs/>
                <w:kern w:val="0"/>
                <w:sz w:val="24"/>
                <w:szCs w:val="24"/>
              </w:rPr>
              <w:t>339.85</w:t>
            </w:r>
          </w:p>
        </w:tc>
        <w:tc>
          <w:tcPr>
            <w:tcW w:w="3047" w:type="pct"/>
            <w:tcBorders>
              <w:top w:val="nil"/>
              <w:left w:val="nil"/>
              <w:bottom w:val="single" w:color="auto" w:sz="4" w:space="0"/>
              <w:right w:val="single" w:color="auto" w:sz="4" w:space="0"/>
            </w:tcBorders>
            <w:shd w:val="clear" w:color="000000" w:fill="D9D9D9"/>
            <w:vAlign w:val="center"/>
          </w:tcPr>
          <w:p w14:paraId="07EDF852">
            <w:pPr>
              <w:widowControl/>
              <w:rPr>
                <w:rFonts w:ascii="仿宋_GB2312" w:hAnsi="等线" w:eastAsia="仿宋_GB2312" w:cs="宋体"/>
                <w:b/>
                <w:color w:val="000000"/>
                <w:kern w:val="0"/>
                <w:sz w:val="24"/>
                <w:szCs w:val="24"/>
              </w:rPr>
            </w:pPr>
            <w:r>
              <w:rPr>
                <w:rFonts w:hint="eastAsia" w:ascii="仿宋_GB2312" w:hAnsi="等线" w:eastAsia="仿宋_GB2312" w:cs="宋体"/>
                <w:b/>
                <w:color w:val="000000"/>
                <w:kern w:val="0"/>
                <w:sz w:val="24"/>
                <w:szCs w:val="24"/>
              </w:rPr>
              <w:t>——</w:t>
            </w:r>
          </w:p>
        </w:tc>
      </w:tr>
      <w:tr w14:paraId="78DEB826">
        <w:tblPrEx>
          <w:tblCellMar>
            <w:top w:w="0" w:type="dxa"/>
            <w:left w:w="0" w:type="dxa"/>
            <w:bottom w:w="0" w:type="dxa"/>
            <w:right w:w="0" w:type="dxa"/>
          </w:tblCellMar>
        </w:tblPrEx>
        <w:trPr>
          <w:trHeight w:val="1416" w:hRule="atLeast"/>
        </w:trPr>
        <w:tc>
          <w:tcPr>
            <w:tcW w:w="232" w:type="pct"/>
            <w:tcBorders>
              <w:top w:val="nil"/>
              <w:left w:val="single" w:color="auto" w:sz="4" w:space="0"/>
              <w:bottom w:val="single" w:color="auto" w:sz="4" w:space="0"/>
              <w:right w:val="single" w:color="auto" w:sz="4" w:space="0"/>
            </w:tcBorders>
            <w:shd w:val="clear" w:color="auto" w:fill="auto"/>
            <w:vAlign w:val="center"/>
          </w:tcPr>
          <w:p w14:paraId="31A264B0">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1.1</w:t>
            </w:r>
          </w:p>
        </w:tc>
        <w:tc>
          <w:tcPr>
            <w:tcW w:w="704" w:type="pct"/>
            <w:tcBorders>
              <w:top w:val="single" w:color="auto" w:sz="4" w:space="0"/>
              <w:left w:val="nil"/>
              <w:bottom w:val="single" w:color="auto" w:sz="4" w:space="0"/>
              <w:right w:val="single" w:color="auto" w:sz="4" w:space="0"/>
            </w:tcBorders>
            <w:shd w:val="clear" w:color="auto" w:fill="auto"/>
            <w:vAlign w:val="center"/>
          </w:tcPr>
          <w:p w14:paraId="3D4B4179">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控规优化</w:t>
            </w:r>
          </w:p>
        </w:tc>
        <w:tc>
          <w:tcPr>
            <w:tcW w:w="548" w:type="pct"/>
            <w:tcBorders>
              <w:top w:val="single" w:color="auto" w:sz="4" w:space="0"/>
              <w:left w:val="nil"/>
              <w:bottom w:val="single" w:color="auto" w:sz="4" w:space="0"/>
              <w:right w:val="single" w:color="auto" w:sz="4" w:space="0"/>
            </w:tcBorders>
            <w:shd w:val="clear" w:color="auto" w:fill="auto"/>
            <w:vAlign w:val="center"/>
          </w:tcPr>
          <w:p w14:paraId="053CC13B">
            <w:pPr>
              <w:widowControl/>
              <w:jc w:val="center"/>
              <w:rPr>
                <w:rFonts w:ascii="仿宋_GB2312" w:hAnsi="等线" w:eastAsia="仿宋_GB2312" w:cs="宋体"/>
                <w:color w:val="000000"/>
                <w:kern w:val="0"/>
                <w:sz w:val="24"/>
                <w:szCs w:val="24"/>
              </w:rPr>
            </w:pPr>
            <w:r>
              <w:rPr>
                <w:rFonts w:ascii="仿宋_GB2312" w:hAnsi="等线" w:eastAsia="仿宋_GB2312" w:cs="宋体"/>
                <w:color w:val="000000"/>
                <w:kern w:val="0"/>
                <w:sz w:val="24"/>
                <w:szCs w:val="24"/>
              </w:rPr>
              <w:t>839.14</w:t>
            </w:r>
          </w:p>
        </w:tc>
        <w:tc>
          <w:tcPr>
            <w:tcW w:w="469" w:type="pct"/>
            <w:tcBorders>
              <w:top w:val="single" w:color="auto" w:sz="4" w:space="0"/>
              <w:left w:val="nil"/>
              <w:bottom w:val="single" w:color="auto" w:sz="4" w:space="0"/>
              <w:right w:val="single" w:color="auto" w:sz="4" w:space="0"/>
            </w:tcBorders>
            <w:shd w:val="clear" w:color="auto" w:fill="auto"/>
            <w:vAlign w:val="center"/>
          </w:tcPr>
          <w:p w14:paraId="013BDB1B">
            <w:pPr>
              <w:widowControl/>
              <w:jc w:val="center"/>
              <w:rPr>
                <w:rFonts w:ascii="仿宋_GB2312" w:hAnsi="等线" w:eastAsia="仿宋_GB2312" w:cs="宋体"/>
                <w:kern w:val="0"/>
                <w:sz w:val="24"/>
                <w:szCs w:val="24"/>
              </w:rPr>
            </w:pPr>
            <w:r>
              <w:rPr>
                <w:rFonts w:hint="eastAsia" w:ascii="仿宋_GB2312" w:hAnsi="等线" w:eastAsia="仿宋_GB2312" w:cs="宋体"/>
                <w:kern w:val="0"/>
                <w:sz w:val="24"/>
                <w:szCs w:val="24"/>
              </w:rPr>
              <w:t xml:space="preserve">339.85 </w:t>
            </w:r>
          </w:p>
        </w:tc>
        <w:tc>
          <w:tcPr>
            <w:tcW w:w="3047" w:type="pct"/>
            <w:tcBorders>
              <w:top w:val="nil"/>
              <w:left w:val="nil"/>
              <w:bottom w:val="single" w:color="auto" w:sz="4" w:space="0"/>
              <w:right w:val="single" w:color="auto" w:sz="4" w:space="0"/>
            </w:tcBorders>
            <w:shd w:val="clear" w:color="auto" w:fill="auto"/>
            <w:vAlign w:val="center"/>
          </w:tcPr>
          <w:p w14:paraId="181739D7">
            <w:pPr>
              <w:widowControl/>
              <w:jc w:val="left"/>
              <w:rPr>
                <w:rFonts w:ascii="仿宋_GB2312" w:hAnsi="等线" w:eastAsia="仿宋_GB2312" w:cs="宋体"/>
                <w:b/>
                <w:bCs/>
                <w:kern w:val="0"/>
                <w:sz w:val="24"/>
                <w:szCs w:val="24"/>
              </w:rPr>
            </w:pPr>
            <w:r>
              <w:rPr>
                <w:rFonts w:hint="eastAsia" w:ascii="仿宋_GB2312" w:hAnsi="等线" w:eastAsia="仿宋_GB2312" w:cs="宋体"/>
                <w:kern w:val="0"/>
                <w:sz w:val="24"/>
                <w:szCs w:val="24"/>
              </w:rPr>
              <w:t>根据《城市规划设计计费指导意见（2017）》3.12条，城市重点地段4500元/公顷，计费范围按照规划范围涉及的规划管理单元面积。考虑到改造方案有一定工作基础，按9折计取。</w:t>
            </w:r>
          </w:p>
        </w:tc>
      </w:tr>
      <w:tr w14:paraId="1F97B055">
        <w:tblPrEx>
          <w:tblCellMar>
            <w:top w:w="0" w:type="dxa"/>
            <w:left w:w="0" w:type="dxa"/>
            <w:bottom w:w="0" w:type="dxa"/>
            <w:right w:w="0" w:type="dxa"/>
          </w:tblCellMar>
        </w:tblPrEx>
        <w:trPr>
          <w:trHeight w:val="840" w:hRule="atLeast"/>
        </w:trPr>
        <w:tc>
          <w:tcPr>
            <w:tcW w:w="232" w:type="pct"/>
            <w:tcBorders>
              <w:top w:val="nil"/>
              <w:left w:val="single" w:color="auto" w:sz="4" w:space="0"/>
              <w:bottom w:val="single" w:color="auto" w:sz="4" w:space="0"/>
              <w:right w:val="single" w:color="auto" w:sz="4" w:space="0"/>
            </w:tcBorders>
            <w:shd w:val="clear" w:color="auto" w:fill="D0CECE" w:themeFill="background2" w:themeFillShade="E6"/>
            <w:vAlign w:val="center"/>
          </w:tcPr>
          <w:p w14:paraId="7D8832EC">
            <w:pPr>
              <w:widowControl/>
              <w:jc w:val="center"/>
              <w:rPr>
                <w:rFonts w:ascii="仿宋_GB2312" w:hAnsi="等线" w:eastAsia="仿宋_GB2312" w:cs="宋体"/>
                <w:b/>
                <w:color w:val="000000"/>
                <w:kern w:val="0"/>
                <w:sz w:val="24"/>
                <w:szCs w:val="24"/>
              </w:rPr>
            </w:pPr>
            <w:r>
              <w:rPr>
                <w:rFonts w:hint="eastAsia" w:ascii="仿宋_GB2312" w:hAnsi="等线" w:eastAsia="仿宋_GB2312" w:cs="宋体"/>
                <w:b/>
                <w:color w:val="000000"/>
                <w:kern w:val="0"/>
                <w:sz w:val="24"/>
                <w:szCs w:val="24"/>
              </w:rPr>
              <w:t>二</w:t>
            </w:r>
          </w:p>
        </w:tc>
        <w:tc>
          <w:tcPr>
            <w:tcW w:w="704" w:type="pct"/>
            <w:tcBorders>
              <w:top w:val="single" w:color="auto" w:sz="4" w:space="0"/>
              <w:left w:val="nil"/>
              <w:bottom w:val="single" w:color="auto" w:sz="4" w:space="0"/>
              <w:right w:val="single" w:color="auto" w:sz="4" w:space="0"/>
            </w:tcBorders>
            <w:shd w:val="clear" w:color="auto" w:fill="D0CECE" w:themeFill="background2" w:themeFillShade="E6"/>
            <w:vAlign w:val="center"/>
          </w:tcPr>
          <w:p w14:paraId="557D5027">
            <w:pPr>
              <w:widowControl/>
              <w:jc w:val="center"/>
              <w:rPr>
                <w:rFonts w:ascii="仿宋_GB2312" w:hAnsi="等线" w:eastAsia="仿宋_GB2312" w:cs="宋体"/>
                <w:b/>
                <w:color w:val="000000"/>
                <w:kern w:val="0"/>
                <w:sz w:val="24"/>
                <w:szCs w:val="24"/>
              </w:rPr>
            </w:pPr>
            <w:r>
              <w:rPr>
                <w:rFonts w:hint="eastAsia" w:ascii="仿宋_GB2312" w:hAnsi="等线" w:eastAsia="仿宋_GB2312" w:cs="宋体"/>
                <w:b/>
                <w:color w:val="000000"/>
                <w:kern w:val="0"/>
                <w:sz w:val="24"/>
                <w:szCs w:val="24"/>
              </w:rPr>
              <w:t>详细城市设计</w:t>
            </w:r>
          </w:p>
        </w:tc>
        <w:tc>
          <w:tcPr>
            <w:tcW w:w="548" w:type="pct"/>
            <w:tcBorders>
              <w:top w:val="single" w:color="auto" w:sz="4" w:space="0"/>
              <w:left w:val="nil"/>
              <w:bottom w:val="single" w:color="auto" w:sz="4" w:space="0"/>
              <w:right w:val="single" w:color="auto" w:sz="4" w:space="0"/>
            </w:tcBorders>
            <w:shd w:val="clear" w:color="auto" w:fill="D0CECE" w:themeFill="background2" w:themeFillShade="E6"/>
            <w:vAlign w:val="center"/>
          </w:tcPr>
          <w:p w14:paraId="382C2629">
            <w:pPr>
              <w:widowControl/>
              <w:jc w:val="center"/>
              <w:rPr>
                <w:rFonts w:ascii="仿宋_GB2312" w:hAnsi="等线" w:eastAsia="仿宋_GB2312" w:cs="宋体"/>
                <w:b/>
                <w:color w:val="000000"/>
                <w:kern w:val="0"/>
                <w:sz w:val="24"/>
                <w:szCs w:val="24"/>
              </w:rPr>
            </w:pPr>
            <w:r>
              <w:rPr>
                <w:rFonts w:hint="eastAsia" w:ascii="仿宋_GB2312" w:hAnsi="等线" w:eastAsia="仿宋_GB2312" w:cs="宋体"/>
                <w:b/>
                <w:color w:val="000000"/>
                <w:kern w:val="0"/>
                <w:sz w:val="24"/>
                <w:szCs w:val="24"/>
              </w:rPr>
              <w:t>——</w:t>
            </w:r>
          </w:p>
        </w:tc>
        <w:tc>
          <w:tcPr>
            <w:tcW w:w="469" w:type="pct"/>
            <w:tcBorders>
              <w:top w:val="single" w:color="auto" w:sz="4" w:space="0"/>
              <w:left w:val="nil"/>
              <w:bottom w:val="single" w:color="auto" w:sz="4" w:space="0"/>
              <w:right w:val="single" w:color="auto" w:sz="4" w:space="0"/>
            </w:tcBorders>
            <w:shd w:val="clear" w:color="auto" w:fill="D0CECE" w:themeFill="background2" w:themeFillShade="E6"/>
            <w:vAlign w:val="center"/>
          </w:tcPr>
          <w:p w14:paraId="102F4FBB">
            <w:pPr>
              <w:widowControl/>
              <w:jc w:val="center"/>
              <w:rPr>
                <w:rFonts w:ascii="仿宋_GB2312" w:hAnsi="等线" w:eastAsia="仿宋_GB2312" w:cs="宋体"/>
                <w:b/>
                <w:kern w:val="0"/>
                <w:sz w:val="24"/>
                <w:szCs w:val="24"/>
              </w:rPr>
            </w:pPr>
            <w:r>
              <w:rPr>
                <w:rFonts w:ascii="仿宋_GB2312" w:hAnsi="等线" w:eastAsia="仿宋_GB2312" w:cs="宋体"/>
                <w:b/>
                <w:kern w:val="0"/>
                <w:sz w:val="24"/>
                <w:szCs w:val="24"/>
              </w:rPr>
              <w:t>507.13</w:t>
            </w:r>
          </w:p>
        </w:tc>
        <w:tc>
          <w:tcPr>
            <w:tcW w:w="3047" w:type="pct"/>
            <w:tcBorders>
              <w:top w:val="nil"/>
              <w:left w:val="nil"/>
              <w:bottom w:val="single" w:color="auto" w:sz="4" w:space="0"/>
              <w:right w:val="single" w:color="auto" w:sz="4" w:space="0"/>
            </w:tcBorders>
            <w:shd w:val="clear" w:color="auto" w:fill="D0CECE" w:themeFill="background2" w:themeFillShade="E6"/>
            <w:vAlign w:val="center"/>
          </w:tcPr>
          <w:p w14:paraId="56AE1AA0">
            <w:pPr>
              <w:widowControl/>
              <w:jc w:val="left"/>
              <w:rPr>
                <w:rFonts w:ascii="仿宋_GB2312" w:hAnsi="等线" w:eastAsia="仿宋_GB2312" w:cs="宋体"/>
                <w:b/>
                <w:kern w:val="0"/>
                <w:sz w:val="24"/>
                <w:szCs w:val="24"/>
              </w:rPr>
            </w:pPr>
            <w:r>
              <w:rPr>
                <w:rFonts w:hint="eastAsia" w:ascii="仿宋_GB2312" w:hAnsi="等线" w:eastAsia="仿宋_GB2312" w:cs="宋体"/>
                <w:b/>
                <w:kern w:val="0"/>
                <w:sz w:val="24"/>
                <w:szCs w:val="24"/>
              </w:rPr>
              <w:t>——</w:t>
            </w:r>
          </w:p>
        </w:tc>
      </w:tr>
      <w:tr w14:paraId="744AEA71">
        <w:tblPrEx>
          <w:tblCellMar>
            <w:top w:w="0" w:type="dxa"/>
            <w:left w:w="0" w:type="dxa"/>
            <w:bottom w:w="0" w:type="dxa"/>
            <w:right w:w="0" w:type="dxa"/>
          </w:tblCellMar>
        </w:tblPrEx>
        <w:trPr>
          <w:trHeight w:val="1404" w:hRule="atLeast"/>
        </w:trPr>
        <w:tc>
          <w:tcPr>
            <w:tcW w:w="232" w:type="pct"/>
            <w:tcBorders>
              <w:top w:val="nil"/>
              <w:left w:val="single" w:color="auto" w:sz="4" w:space="0"/>
              <w:bottom w:val="single" w:color="auto" w:sz="4" w:space="0"/>
              <w:right w:val="single" w:color="auto" w:sz="4" w:space="0"/>
            </w:tcBorders>
            <w:shd w:val="clear" w:color="auto" w:fill="auto"/>
            <w:vAlign w:val="center"/>
          </w:tcPr>
          <w:p w14:paraId="3C07F849">
            <w:pPr>
              <w:widowControl/>
              <w:jc w:val="center"/>
              <w:rPr>
                <w:rFonts w:ascii="仿宋_GB2312" w:hAnsi="等线" w:eastAsia="仿宋_GB2312" w:cs="宋体"/>
                <w:color w:val="000000"/>
                <w:kern w:val="0"/>
                <w:sz w:val="24"/>
                <w:szCs w:val="24"/>
              </w:rPr>
            </w:pPr>
            <w:r>
              <w:rPr>
                <w:rFonts w:ascii="仿宋_GB2312" w:hAnsi="等线" w:eastAsia="仿宋_GB2312" w:cs="宋体"/>
                <w:color w:val="000000"/>
                <w:kern w:val="0"/>
                <w:sz w:val="24"/>
                <w:szCs w:val="24"/>
              </w:rPr>
              <w:t>2.1</w:t>
            </w:r>
          </w:p>
        </w:tc>
        <w:tc>
          <w:tcPr>
            <w:tcW w:w="704" w:type="pct"/>
            <w:tcBorders>
              <w:top w:val="nil"/>
              <w:left w:val="nil"/>
              <w:bottom w:val="single" w:color="auto" w:sz="4" w:space="0"/>
              <w:right w:val="single" w:color="auto" w:sz="4" w:space="0"/>
            </w:tcBorders>
            <w:shd w:val="clear" w:color="auto" w:fill="auto"/>
            <w:vAlign w:val="center"/>
          </w:tcPr>
          <w:p w14:paraId="61A400D1">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详细城市设计</w:t>
            </w:r>
          </w:p>
        </w:tc>
        <w:tc>
          <w:tcPr>
            <w:tcW w:w="548" w:type="pct"/>
            <w:tcBorders>
              <w:top w:val="nil"/>
              <w:left w:val="nil"/>
              <w:bottom w:val="single" w:color="auto" w:sz="4" w:space="0"/>
              <w:right w:val="single" w:color="auto" w:sz="4" w:space="0"/>
            </w:tcBorders>
            <w:shd w:val="clear" w:color="auto" w:fill="auto"/>
            <w:vAlign w:val="center"/>
          </w:tcPr>
          <w:p w14:paraId="60614484">
            <w:pPr>
              <w:widowControl/>
              <w:jc w:val="center"/>
              <w:rPr>
                <w:rFonts w:ascii="仿宋_GB2312" w:hAnsi="等线" w:eastAsia="仿宋_GB2312" w:cs="宋体"/>
                <w:color w:val="000000"/>
                <w:kern w:val="0"/>
                <w:sz w:val="24"/>
                <w:szCs w:val="24"/>
              </w:rPr>
            </w:pPr>
            <w:r>
              <w:rPr>
                <w:rFonts w:ascii="仿宋_GB2312" w:hAnsi="等线" w:eastAsia="仿宋_GB2312" w:cs="宋体"/>
                <w:color w:val="000000"/>
                <w:kern w:val="0"/>
                <w:sz w:val="24"/>
                <w:szCs w:val="24"/>
              </w:rPr>
              <w:t>227.1</w:t>
            </w:r>
          </w:p>
        </w:tc>
        <w:tc>
          <w:tcPr>
            <w:tcW w:w="469" w:type="pct"/>
            <w:tcBorders>
              <w:top w:val="nil"/>
              <w:left w:val="nil"/>
              <w:bottom w:val="single" w:color="auto" w:sz="4" w:space="0"/>
              <w:right w:val="single" w:color="auto" w:sz="4" w:space="0"/>
            </w:tcBorders>
            <w:shd w:val="clear" w:color="auto" w:fill="auto"/>
            <w:vAlign w:val="center"/>
          </w:tcPr>
          <w:p w14:paraId="4F770C27">
            <w:pPr>
              <w:widowControl/>
              <w:jc w:val="center"/>
              <w:rPr>
                <w:rFonts w:ascii="仿宋_GB2312" w:hAnsi="等线" w:eastAsia="仿宋_GB2312" w:cs="宋体"/>
                <w:kern w:val="0"/>
                <w:sz w:val="24"/>
                <w:szCs w:val="24"/>
              </w:rPr>
            </w:pPr>
            <w:r>
              <w:rPr>
                <w:rFonts w:ascii="仿宋_GB2312" w:hAnsi="等线" w:eastAsia="仿宋_GB2312" w:cs="宋体"/>
                <w:kern w:val="0"/>
                <w:sz w:val="24"/>
                <w:szCs w:val="24"/>
              </w:rPr>
              <w:t>269.79</w:t>
            </w:r>
          </w:p>
        </w:tc>
        <w:tc>
          <w:tcPr>
            <w:tcW w:w="3047" w:type="pct"/>
            <w:tcBorders>
              <w:top w:val="nil"/>
              <w:left w:val="nil"/>
              <w:bottom w:val="single" w:color="auto" w:sz="4" w:space="0"/>
              <w:right w:val="single" w:color="auto" w:sz="4" w:space="0"/>
            </w:tcBorders>
            <w:shd w:val="clear" w:color="auto" w:fill="auto"/>
            <w:vAlign w:val="center"/>
          </w:tcPr>
          <w:p w14:paraId="0DB36774">
            <w:pPr>
              <w:widowControl/>
              <w:jc w:val="left"/>
              <w:rPr>
                <w:rFonts w:ascii="仿宋_GB2312" w:hAnsi="等线" w:eastAsia="仿宋_GB2312" w:cs="宋体"/>
                <w:b/>
                <w:bCs/>
                <w:kern w:val="0"/>
                <w:sz w:val="24"/>
                <w:szCs w:val="24"/>
              </w:rPr>
            </w:pPr>
            <w:r>
              <w:rPr>
                <w:rFonts w:hint="eastAsia" w:ascii="仿宋_GB2312" w:hAnsi="等线" w:eastAsia="仿宋_GB2312" w:cs="宋体"/>
                <w:kern w:val="0"/>
                <w:sz w:val="24"/>
                <w:szCs w:val="24"/>
              </w:rPr>
              <w:t>控规调整范围内达到详细城市设计深度。按照《广东省城市规划收费标准的建议（行业指导价）》十四、城市设计，重点地区修规2.2万元/公顷的60%收费，即1.32万元/公顷。</w:t>
            </w:r>
            <w:bookmarkStart w:id="9" w:name="OLE_LINK3"/>
            <w:r>
              <w:rPr>
                <w:rFonts w:hint="eastAsia" w:ascii="仿宋_GB2312" w:hAnsi="等线" w:eastAsia="仿宋_GB2312" w:cs="宋体"/>
                <w:kern w:val="0"/>
                <w:sz w:val="24"/>
                <w:szCs w:val="24"/>
              </w:rPr>
              <w:t>考虑到城市设计有一定工作基础，按9折计取。</w:t>
            </w:r>
            <w:bookmarkEnd w:id="9"/>
          </w:p>
        </w:tc>
      </w:tr>
      <w:tr w14:paraId="7EF6A288">
        <w:tblPrEx>
          <w:tblCellMar>
            <w:top w:w="0" w:type="dxa"/>
            <w:left w:w="0" w:type="dxa"/>
            <w:bottom w:w="0" w:type="dxa"/>
            <w:right w:w="0" w:type="dxa"/>
          </w:tblCellMar>
        </w:tblPrEx>
        <w:trPr>
          <w:trHeight w:val="1596" w:hRule="atLeast"/>
        </w:trPr>
        <w:tc>
          <w:tcPr>
            <w:tcW w:w="232" w:type="pct"/>
            <w:tcBorders>
              <w:top w:val="nil"/>
              <w:left w:val="single" w:color="auto" w:sz="4" w:space="0"/>
              <w:bottom w:val="single" w:color="auto" w:sz="4" w:space="0"/>
              <w:right w:val="single" w:color="auto" w:sz="4" w:space="0"/>
            </w:tcBorders>
            <w:shd w:val="clear" w:color="auto" w:fill="auto"/>
            <w:vAlign w:val="center"/>
          </w:tcPr>
          <w:p w14:paraId="4B822700">
            <w:pPr>
              <w:widowControl/>
              <w:jc w:val="center"/>
              <w:rPr>
                <w:rFonts w:ascii="仿宋_GB2312" w:hAnsi="等线" w:eastAsia="仿宋_GB2312" w:cs="宋体"/>
                <w:color w:val="000000"/>
                <w:kern w:val="0"/>
                <w:sz w:val="24"/>
                <w:szCs w:val="24"/>
              </w:rPr>
            </w:pPr>
            <w:r>
              <w:rPr>
                <w:rFonts w:ascii="仿宋_GB2312" w:hAnsi="等线" w:eastAsia="仿宋_GB2312" w:cs="宋体"/>
                <w:color w:val="000000"/>
                <w:kern w:val="0"/>
                <w:sz w:val="24"/>
                <w:szCs w:val="24"/>
              </w:rPr>
              <w:t>2.2</w:t>
            </w:r>
          </w:p>
        </w:tc>
        <w:tc>
          <w:tcPr>
            <w:tcW w:w="704" w:type="pct"/>
            <w:tcBorders>
              <w:top w:val="nil"/>
              <w:left w:val="nil"/>
              <w:bottom w:val="single" w:color="auto" w:sz="4" w:space="0"/>
              <w:right w:val="single" w:color="auto" w:sz="4" w:space="0"/>
            </w:tcBorders>
            <w:shd w:val="clear" w:color="auto" w:fill="auto"/>
            <w:vAlign w:val="center"/>
          </w:tcPr>
          <w:p w14:paraId="4D72368D">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重点地区地块城市设计图则</w:t>
            </w:r>
          </w:p>
        </w:tc>
        <w:tc>
          <w:tcPr>
            <w:tcW w:w="548" w:type="pct"/>
            <w:tcBorders>
              <w:top w:val="nil"/>
              <w:left w:val="nil"/>
              <w:bottom w:val="single" w:color="auto" w:sz="4" w:space="0"/>
              <w:right w:val="single" w:color="auto" w:sz="4" w:space="0"/>
            </w:tcBorders>
            <w:shd w:val="clear" w:color="auto" w:fill="auto"/>
            <w:vAlign w:val="center"/>
          </w:tcPr>
          <w:p w14:paraId="2DBF6746">
            <w:pPr>
              <w:widowControl/>
              <w:jc w:val="center"/>
              <w:rPr>
                <w:rFonts w:ascii="仿宋_GB2312" w:hAnsi="等线" w:eastAsia="仿宋_GB2312" w:cs="宋体"/>
                <w:color w:val="000000"/>
                <w:kern w:val="0"/>
                <w:sz w:val="24"/>
                <w:szCs w:val="24"/>
              </w:rPr>
            </w:pPr>
            <w:r>
              <w:rPr>
                <w:rFonts w:ascii="仿宋_GB2312" w:hAnsi="等线" w:eastAsia="仿宋_GB2312" w:cs="宋体"/>
                <w:color w:val="000000"/>
                <w:kern w:val="0"/>
                <w:sz w:val="24"/>
                <w:szCs w:val="24"/>
              </w:rPr>
              <w:t>164.82</w:t>
            </w:r>
          </w:p>
        </w:tc>
        <w:tc>
          <w:tcPr>
            <w:tcW w:w="469" w:type="pct"/>
            <w:tcBorders>
              <w:top w:val="nil"/>
              <w:left w:val="nil"/>
              <w:bottom w:val="single" w:color="auto" w:sz="4" w:space="0"/>
              <w:right w:val="single" w:color="auto" w:sz="4" w:space="0"/>
            </w:tcBorders>
            <w:shd w:val="clear" w:color="auto" w:fill="auto"/>
            <w:vAlign w:val="center"/>
          </w:tcPr>
          <w:p w14:paraId="6D22278B">
            <w:pPr>
              <w:widowControl/>
              <w:jc w:val="center"/>
              <w:rPr>
                <w:rFonts w:ascii="仿宋_GB2312" w:hAnsi="等线" w:eastAsia="仿宋_GB2312" w:cs="宋体"/>
                <w:color w:val="000000"/>
                <w:kern w:val="0"/>
                <w:sz w:val="24"/>
                <w:szCs w:val="24"/>
              </w:rPr>
            </w:pPr>
            <w:r>
              <w:rPr>
                <w:rFonts w:ascii="仿宋_GB2312" w:hAnsi="等线" w:eastAsia="仿宋_GB2312" w:cs="宋体"/>
                <w:color w:val="000000"/>
                <w:kern w:val="0"/>
                <w:sz w:val="24"/>
                <w:szCs w:val="24"/>
              </w:rPr>
              <w:t>237.34</w:t>
            </w:r>
            <w:r>
              <w:rPr>
                <w:rFonts w:hint="eastAsia" w:ascii="仿宋_GB2312" w:hAnsi="等线" w:eastAsia="仿宋_GB2312" w:cs="宋体"/>
                <w:color w:val="000000"/>
                <w:kern w:val="0"/>
                <w:sz w:val="24"/>
                <w:szCs w:val="24"/>
              </w:rPr>
              <w:t xml:space="preserve"> </w:t>
            </w:r>
          </w:p>
        </w:tc>
        <w:tc>
          <w:tcPr>
            <w:tcW w:w="3047" w:type="pct"/>
            <w:tcBorders>
              <w:top w:val="nil"/>
              <w:left w:val="nil"/>
              <w:bottom w:val="single" w:color="auto" w:sz="4" w:space="0"/>
              <w:right w:val="single" w:color="auto" w:sz="4" w:space="0"/>
            </w:tcBorders>
            <w:shd w:val="clear" w:color="auto" w:fill="auto"/>
            <w:vAlign w:val="center"/>
          </w:tcPr>
          <w:p w14:paraId="6AEBE335">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根据《关于印发《广州市人民政府征用土地办公室、广州市土地开发中心城市规划收费标准建议（试行）》的通知》城市设计导则体系专项（达到修建性详细规划深度）计费单价是1.6万/公顷。计费范围为临轴及环湖一线地块。</w:t>
            </w:r>
            <w:r>
              <w:rPr>
                <w:rFonts w:hint="eastAsia" w:ascii="仿宋_GB2312" w:hAnsi="等线" w:eastAsia="仿宋_GB2312" w:cs="宋体"/>
                <w:kern w:val="0"/>
                <w:sz w:val="24"/>
                <w:szCs w:val="24"/>
              </w:rPr>
              <w:t>考虑到城市设计有一定工作基础，按9折计取。</w:t>
            </w:r>
          </w:p>
        </w:tc>
      </w:tr>
      <w:tr w14:paraId="763988EE">
        <w:tblPrEx>
          <w:tblCellMar>
            <w:top w:w="0" w:type="dxa"/>
            <w:left w:w="0" w:type="dxa"/>
            <w:bottom w:w="0" w:type="dxa"/>
            <w:right w:w="0" w:type="dxa"/>
          </w:tblCellMar>
        </w:tblPrEx>
        <w:trPr>
          <w:trHeight w:val="525" w:hRule="atLeast"/>
        </w:trPr>
        <w:tc>
          <w:tcPr>
            <w:tcW w:w="232" w:type="pct"/>
            <w:tcBorders>
              <w:top w:val="nil"/>
              <w:left w:val="single" w:color="auto" w:sz="4" w:space="0"/>
              <w:bottom w:val="single" w:color="auto" w:sz="4" w:space="0"/>
              <w:right w:val="single" w:color="auto" w:sz="4" w:space="0"/>
            </w:tcBorders>
            <w:shd w:val="clear" w:color="auto" w:fill="D0CECE" w:themeFill="background2" w:themeFillShade="E6"/>
            <w:vAlign w:val="center"/>
          </w:tcPr>
          <w:p w14:paraId="52EE83DF">
            <w:pPr>
              <w:widowControl/>
              <w:jc w:val="center"/>
              <w:rPr>
                <w:rFonts w:ascii="仿宋_GB2312" w:hAnsi="等线" w:eastAsia="仿宋_GB2312" w:cs="宋体"/>
                <w:b/>
                <w:color w:val="000000"/>
                <w:kern w:val="0"/>
                <w:sz w:val="24"/>
                <w:szCs w:val="24"/>
              </w:rPr>
            </w:pPr>
            <w:r>
              <w:rPr>
                <w:rFonts w:hint="eastAsia" w:ascii="仿宋_GB2312" w:hAnsi="等线" w:eastAsia="仿宋_GB2312" w:cs="宋体"/>
                <w:b/>
                <w:color w:val="000000"/>
                <w:kern w:val="0"/>
                <w:sz w:val="24"/>
                <w:szCs w:val="24"/>
              </w:rPr>
              <w:t>三</w:t>
            </w:r>
          </w:p>
        </w:tc>
        <w:tc>
          <w:tcPr>
            <w:tcW w:w="704" w:type="pct"/>
            <w:tcBorders>
              <w:top w:val="nil"/>
              <w:left w:val="nil"/>
              <w:bottom w:val="single" w:color="auto" w:sz="4" w:space="0"/>
              <w:right w:val="single" w:color="auto" w:sz="4" w:space="0"/>
            </w:tcBorders>
            <w:shd w:val="clear" w:color="auto" w:fill="D0CECE" w:themeFill="background2" w:themeFillShade="E6"/>
            <w:vAlign w:val="center"/>
          </w:tcPr>
          <w:p w14:paraId="50186332">
            <w:pPr>
              <w:widowControl/>
              <w:jc w:val="center"/>
              <w:rPr>
                <w:rFonts w:ascii="仿宋_GB2312" w:hAnsi="等线" w:eastAsia="仿宋_GB2312" w:cs="宋体"/>
                <w:b/>
                <w:color w:val="000000"/>
                <w:kern w:val="0"/>
                <w:sz w:val="24"/>
                <w:szCs w:val="24"/>
              </w:rPr>
            </w:pPr>
            <w:r>
              <w:rPr>
                <w:rFonts w:hint="eastAsia" w:ascii="仿宋_GB2312" w:hAnsi="等线" w:eastAsia="仿宋_GB2312" w:cs="宋体"/>
                <w:b/>
                <w:color w:val="000000"/>
                <w:kern w:val="0"/>
                <w:sz w:val="24"/>
                <w:szCs w:val="24"/>
              </w:rPr>
              <w:t>专题研究</w:t>
            </w:r>
          </w:p>
        </w:tc>
        <w:tc>
          <w:tcPr>
            <w:tcW w:w="548" w:type="pct"/>
            <w:tcBorders>
              <w:top w:val="nil"/>
              <w:left w:val="nil"/>
              <w:bottom w:val="single" w:color="auto" w:sz="4" w:space="0"/>
              <w:right w:val="single" w:color="auto" w:sz="4" w:space="0"/>
            </w:tcBorders>
            <w:shd w:val="clear" w:color="auto" w:fill="D0CECE" w:themeFill="background2" w:themeFillShade="E6"/>
            <w:vAlign w:val="center"/>
          </w:tcPr>
          <w:p w14:paraId="090CF34D">
            <w:pPr>
              <w:widowControl/>
              <w:jc w:val="center"/>
              <w:rPr>
                <w:rFonts w:ascii="仿宋_GB2312" w:hAnsi="等线" w:eastAsia="仿宋_GB2312" w:cs="宋体"/>
                <w:b/>
                <w:color w:val="000000"/>
                <w:kern w:val="0"/>
                <w:sz w:val="24"/>
                <w:szCs w:val="24"/>
              </w:rPr>
            </w:pPr>
            <w:r>
              <w:rPr>
                <w:rFonts w:hint="eastAsia" w:ascii="仿宋_GB2312" w:hAnsi="等线" w:eastAsia="仿宋_GB2312" w:cs="宋体"/>
                <w:b/>
                <w:color w:val="000000"/>
                <w:kern w:val="0"/>
                <w:sz w:val="24"/>
                <w:szCs w:val="24"/>
              </w:rPr>
              <w:t>——</w:t>
            </w:r>
          </w:p>
        </w:tc>
        <w:tc>
          <w:tcPr>
            <w:tcW w:w="469" w:type="pct"/>
            <w:tcBorders>
              <w:top w:val="nil"/>
              <w:left w:val="nil"/>
              <w:bottom w:val="single" w:color="auto" w:sz="4" w:space="0"/>
              <w:right w:val="single" w:color="auto" w:sz="4" w:space="0"/>
            </w:tcBorders>
            <w:shd w:val="clear" w:color="auto" w:fill="D0CECE" w:themeFill="background2" w:themeFillShade="E6"/>
            <w:vAlign w:val="center"/>
          </w:tcPr>
          <w:p w14:paraId="2FBDFFD6">
            <w:pPr>
              <w:widowControl/>
              <w:jc w:val="center"/>
              <w:rPr>
                <w:rFonts w:ascii="仿宋_GB2312" w:hAnsi="等线" w:eastAsia="仿宋_GB2312" w:cs="宋体"/>
                <w:b/>
                <w:kern w:val="0"/>
                <w:sz w:val="24"/>
                <w:szCs w:val="24"/>
              </w:rPr>
            </w:pPr>
            <w:r>
              <w:rPr>
                <w:rFonts w:ascii="仿宋_GB2312" w:hAnsi="等线" w:eastAsia="仿宋_GB2312" w:cs="宋体"/>
                <w:b/>
                <w:kern w:val="0"/>
                <w:sz w:val="24"/>
                <w:szCs w:val="24"/>
              </w:rPr>
              <w:t>90</w:t>
            </w:r>
          </w:p>
        </w:tc>
        <w:tc>
          <w:tcPr>
            <w:tcW w:w="3047" w:type="pct"/>
            <w:tcBorders>
              <w:top w:val="nil"/>
              <w:left w:val="nil"/>
              <w:bottom w:val="single" w:color="auto" w:sz="4" w:space="0"/>
              <w:right w:val="single" w:color="auto" w:sz="4" w:space="0"/>
            </w:tcBorders>
            <w:shd w:val="clear" w:color="auto" w:fill="D0CECE" w:themeFill="background2" w:themeFillShade="E6"/>
            <w:vAlign w:val="center"/>
          </w:tcPr>
          <w:p w14:paraId="537B15A4">
            <w:pPr>
              <w:widowControl/>
              <w:jc w:val="left"/>
              <w:rPr>
                <w:rFonts w:ascii="仿宋_GB2312" w:hAnsi="等线" w:eastAsia="仿宋_GB2312" w:cs="宋体"/>
                <w:b/>
                <w:kern w:val="0"/>
                <w:sz w:val="24"/>
                <w:szCs w:val="24"/>
              </w:rPr>
            </w:pPr>
            <w:r>
              <w:rPr>
                <w:rFonts w:hint="eastAsia" w:ascii="仿宋_GB2312" w:hAnsi="等线" w:eastAsia="仿宋_GB2312" w:cs="宋体"/>
                <w:b/>
                <w:kern w:val="0"/>
                <w:sz w:val="24"/>
                <w:szCs w:val="24"/>
              </w:rPr>
              <w:t>——</w:t>
            </w:r>
          </w:p>
        </w:tc>
      </w:tr>
      <w:tr w14:paraId="0E0D8861">
        <w:tblPrEx>
          <w:tblCellMar>
            <w:top w:w="0" w:type="dxa"/>
            <w:left w:w="0" w:type="dxa"/>
            <w:bottom w:w="0" w:type="dxa"/>
            <w:right w:w="0" w:type="dxa"/>
          </w:tblCellMar>
        </w:tblPrEx>
        <w:trPr>
          <w:trHeight w:val="525" w:hRule="atLeast"/>
        </w:trPr>
        <w:tc>
          <w:tcPr>
            <w:tcW w:w="232" w:type="pct"/>
            <w:tcBorders>
              <w:top w:val="nil"/>
              <w:left w:val="single" w:color="auto" w:sz="4" w:space="0"/>
              <w:bottom w:val="single" w:color="auto" w:sz="4" w:space="0"/>
              <w:right w:val="single" w:color="auto" w:sz="4" w:space="0"/>
            </w:tcBorders>
            <w:shd w:val="clear" w:color="auto" w:fill="auto"/>
            <w:vAlign w:val="center"/>
          </w:tcPr>
          <w:p w14:paraId="6929E6F3">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w:t>
            </w:r>
            <w:r>
              <w:rPr>
                <w:rFonts w:ascii="仿宋_GB2312" w:hAnsi="等线" w:eastAsia="仿宋_GB2312" w:cs="宋体"/>
                <w:color w:val="000000"/>
                <w:kern w:val="0"/>
                <w:sz w:val="24"/>
                <w:szCs w:val="24"/>
              </w:rPr>
              <w:t>.1</w:t>
            </w:r>
          </w:p>
        </w:tc>
        <w:tc>
          <w:tcPr>
            <w:tcW w:w="704" w:type="pct"/>
            <w:tcBorders>
              <w:top w:val="nil"/>
              <w:left w:val="nil"/>
              <w:bottom w:val="single" w:color="auto" w:sz="4" w:space="0"/>
              <w:right w:val="single" w:color="auto" w:sz="4" w:space="0"/>
            </w:tcBorders>
            <w:shd w:val="clear" w:color="auto" w:fill="auto"/>
            <w:vAlign w:val="center"/>
          </w:tcPr>
          <w:p w14:paraId="093A46E2">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产业专题研究</w:t>
            </w:r>
          </w:p>
        </w:tc>
        <w:tc>
          <w:tcPr>
            <w:tcW w:w="548" w:type="pct"/>
            <w:tcBorders>
              <w:top w:val="nil"/>
              <w:left w:val="nil"/>
              <w:bottom w:val="single" w:color="auto" w:sz="4" w:space="0"/>
              <w:right w:val="single" w:color="auto" w:sz="4" w:space="0"/>
            </w:tcBorders>
            <w:shd w:val="clear" w:color="auto" w:fill="auto"/>
            <w:vAlign w:val="center"/>
          </w:tcPr>
          <w:p w14:paraId="7A24B950">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6</w:t>
            </w:r>
            <w:r>
              <w:rPr>
                <w:rFonts w:ascii="仿宋_GB2312" w:hAnsi="等线" w:eastAsia="仿宋_GB2312" w:cs="宋体"/>
                <w:color w:val="000000"/>
                <w:kern w:val="0"/>
                <w:sz w:val="24"/>
                <w:szCs w:val="24"/>
              </w:rPr>
              <w:t>43</w:t>
            </w:r>
          </w:p>
        </w:tc>
        <w:tc>
          <w:tcPr>
            <w:tcW w:w="469" w:type="pct"/>
            <w:tcBorders>
              <w:top w:val="nil"/>
              <w:left w:val="nil"/>
              <w:bottom w:val="single" w:color="auto" w:sz="4" w:space="0"/>
              <w:right w:val="single" w:color="auto" w:sz="4" w:space="0"/>
            </w:tcBorders>
            <w:shd w:val="clear" w:color="auto" w:fill="auto"/>
            <w:vAlign w:val="center"/>
          </w:tcPr>
          <w:p w14:paraId="63694DDF">
            <w:pPr>
              <w:widowControl/>
              <w:jc w:val="center"/>
              <w:rPr>
                <w:rFonts w:ascii="仿宋_GB2312" w:hAnsi="等线" w:eastAsia="仿宋_GB2312" w:cs="宋体"/>
                <w:kern w:val="0"/>
                <w:sz w:val="24"/>
                <w:szCs w:val="24"/>
              </w:rPr>
            </w:pPr>
            <w:r>
              <w:rPr>
                <w:rFonts w:hint="eastAsia" w:ascii="仿宋_GB2312" w:hAnsi="等线" w:eastAsia="仿宋_GB2312" w:cs="宋体"/>
                <w:kern w:val="0"/>
                <w:sz w:val="24"/>
                <w:szCs w:val="24"/>
              </w:rPr>
              <w:t>3</w:t>
            </w:r>
            <w:r>
              <w:rPr>
                <w:rFonts w:ascii="仿宋_GB2312" w:hAnsi="等线" w:eastAsia="仿宋_GB2312" w:cs="宋体"/>
                <w:kern w:val="0"/>
                <w:sz w:val="24"/>
                <w:szCs w:val="24"/>
              </w:rPr>
              <w:t>0</w:t>
            </w:r>
          </w:p>
        </w:tc>
        <w:tc>
          <w:tcPr>
            <w:tcW w:w="3047" w:type="pct"/>
            <w:tcBorders>
              <w:top w:val="single" w:color="auto" w:sz="4" w:space="0"/>
              <w:left w:val="nil"/>
              <w:bottom w:val="single" w:color="auto" w:sz="4" w:space="0"/>
              <w:right w:val="single" w:color="auto" w:sz="4" w:space="0"/>
            </w:tcBorders>
            <w:shd w:val="clear" w:color="auto" w:fill="auto"/>
            <w:vAlign w:val="center"/>
          </w:tcPr>
          <w:p w14:paraId="0D0AD324">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根据《城市规划设计计费指导意见（2017）》第一条第1.1点，特大城市总体规划“专题研究”收费50万元。考虑到有较好的工作基础，按6折计取。</w:t>
            </w:r>
          </w:p>
        </w:tc>
      </w:tr>
      <w:tr w14:paraId="058C2AE5">
        <w:tblPrEx>
          <w:tblCellMar>
            <w:top w:w="0" w:type="dxa"/>
            <w:left w:w="0" w:type="dxa"/>
            <w:bottom w:w="0" w:type="dxa"/>
            <w:right w:w="0" w:type="dxa"/>
          </w:tblCellMar>
        </w:tblPrEx>
        <w:trPr>
          <w:trHeight w:val="992" w:hRule="atLeast"/>
        </w:trPr>
        <w:tc>
          <w:tcPr>
            <w:tcW w:w="232" w:type="pct"/>
            <w:tcBorders>
              <w:top w:val="nil"/>
              <w:left w:val="single" w:color="auto" w:sz="4" w:space="0"/>
              <w:bottom w:val="single" w:color="auto" w:sz="4" w:space="0"/>
              <w:right w:val="single" w:color="auto" w:sz="4" w:space="0"/>
            </w:tcBorders>
            <w:shd w:val="clear" w:color="auto" w:fill="auto"/>
            <w:vAlign w:val="center"/>
          </w:tcPr>
          <w:p w14:paraId="44ECA19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w:t>
            </w:r>
            <w:r>
              <w:rPr>
                <w:rFonts w:ascii="仿宋_GB2312" w:hAnsi="等线" w:eastAsia="仿宋_GB2312" w:cs="宋体"/>
                <w:color w:val="000000"/>
                <w:kern w:val="0"/>
                <w:sz w:val="24"/>
                <w:szCs w:val="24"/>
              </w:rPr>
              <w:t>.2</w:t>
            </w:r>
          </w:p>
        </w:tc>
        <w:tc>
          <w:tcPr>
            <w:tcW w:w="704" w:type="pct"/>
            <w:tcBorders>
              <w:top w:val="nil"/>
              <w:left w:val="nil"/>
              <w:bottom w:val="single" w:color="auto" w:sz="4" w:space="0"/>
              <w:right w:val="single" w:color="auto" w:sz="4" w:space="0"/>
            </w:tcBorders>
            <w:shd w:val="clear" w:color="auto" w:fill="auto"/>
            <w:vAlign w:val="center"/>
          </w:tcPr>
          <w:p w14:paraId="4973B885">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地下空间专题研究</w:t>
            </w:r>
          </w:p>
        </w:tc>
        <w:tc>
          <w:tcPr>
            <w:tcW w:w="548" w:type="pct"/>
            <w:tcBorders>
              <w:top w:val="nil"/>
              <w:left w:val="nil"/>
              <w:bottom w:val="single" w:color="auto" w:sz="4" w:space="0"/>
              <w:right w:val="single" w:color="auto" w:sz="4" w:space="0"/>
            </w:tcBorders>
            <w:shd w:val="clear" w:color="auto" w:fill="auto"/>
            <w:vAlign w:val="center"/>
          </w:tcPr>
          <w:p w14:paraId="051E1D19">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6</w:t>
            </w:r>
            <w:r>
              <w:rPr>
                <w:rFonts w:ascii="仿宋_GB2312" w:hAnsi="等线" w:eastAsia="仿宋_GB2312" w:cs="宋体"/>
                <w:color w:val="000000"/>
                <w:kern w:val="0"/>
                <w:sz w:val="24"/>
                <w:szCs w:val="24"/>
              </w:rPr>
              <w:t>43</w:t>
            </w:r>
          </w:p>
        </w:tc>
        <w:tc>
          <w:tcPr>
            <w:tcW w:w="469" w:type="pct"/>
            <w:tcBorders>
              <w:top w:val="nil"/>
              <w:left w:val="nil"/>
              <w:bottom w:val="single" w:color="auto" w:sz="4" w:space="0"/>
              <w:right w:val="single" w:color="auto" w:sz="4" w:space="0"/>
            </w:tcBorders>
            <w:shd w:val="clear" w:color="auto" w:fill="auto"/>
            <w:vAlign w:val="center"/>
          </w:tcPr>
          <w:p w14:paraId="58600D04">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w:t>
            </w:r>
            <w:r>
              <w:rPr>
                <w:rFonts w:ascii="仿宋_GB2312" w:hAnsi="等线" w:eastAsia="仿宋_GB2312" w:cs="宋体"/>
                <w:color w:val="000000"/>
                <w:kern w:val="0"/>
                <w:sz w:val="24"/>
                <w:szCs w:val="24"/>
              </w:rPr>
              <w:t>0</w:t>
            </w:r>
          </w:p>
        </w:tc>
        <w:tc>
          <w:tcPr>
            <w:tcW w:w="3047" w:type="pct"/>
            <w:tcBorders>
              <w:top w:val="single" w:color="auto" w:sz="4" w:space="0"/>
              <w:left w:val="nil"/>
              <w:bottom w:val="single" w:color="auto" w:sz="4" w:space="0"/>
              <w:right w:val="single" w:color="auto" w:sz="4" w:space="0"/>
            </w:tcBorders>
            <w:shd w:val="clear" w:color="auto" w:fill="auto"/>
            <w:vAlign w:val="center"/>
          </w:tcPr>
          <w:p w14:paraId="3FAD780B">
            <w:pPr>
              <w:widowControl/>
              <w:jc w:val="left"/>
              <w:rPr>
                <w:rFonts w:ascii="仿宋_GB2312" w:hAnsi="等线" w:eastAsia="仿宋_GB2312" w:cs="宋体"/>
                <w:color w:val="000000"/>
                <w:kern w:val="0"/>
                <w:sz w:val="24"/>
                <w:szCs w:val="24"/>
              </w:rPr>
            </w:pPr>
            <w:r>
              <w:rPr>
                <w:rFonts w:hint="eastAsia" w:ascii="仿宋_GB2312" w:hAnsi="等线" w:eastAsia="仿宋_GB2312" w:cs="宋体"/>
                <w:kern w:val="0"/>
                <w:sz w:val="24"/>
                <w:szCs w:val="24"/>
              </w:rPr>
              <w:t>根据《城市规划设计计费指导意见（2017）》第一条第1.1点，特大城市总体规划“专题研究”收费50万元。考虑到有较好的工作基础，按6折计取。</w:t>
            </w:r>
          </w:p>
        </w:tc>
      </w:tr>
      <w:tr w14:paraId="652BD25A">
        <w:tblPrEx>
          <w:tblCellMar>
            <w:top w:w="0" w:type="dxa"/>
            <w:left w:w="0" w:type="dxa"/>
            <w:bottom w:w="0" w:type="dxa"/>
            <w:right w:w="0" w:type="dxa"/>
          </w:tblCellMar>
        </w:tblPrEx>
        <w:trPr>
          <w:trHeight w:val="924" w:hRule="atLeast"/>
        </w:trPr>
        <w:tc>
          <w:tcPr>
            <w:tcW w:w="232" w:type="pct"/>
            <w:tcBorders>
              <w:top w:val="nil"/>
              <w:left w:val="single" w:color="auto" w:sz="4" w:space="0"/>
              <w:bottom w:val="single" w:color="auto" w:sz="4" w:space="0"/>
              <w:right w:val="single" w:color="auto" w:sz="4" w:space="0"/>
            </w:tcBorders>
            <w:shd w:val="clear" w:color="auto" w:fill="auto"/>
            <w:vAlign w:val="center"/>
          </w:tcPr>
          <w:p w14:paraId="481DEA8F">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w:t>
            </w:r>
            <w:r>
              <w:rPr>
                <w:rFonts w:ascii="仿宋_GB2312" w:hAnsi="等线" w:eastAsia="仿宋_GB2312" w:cs="宋体"/>
                <w:color w:val="000000"/>
                <w:kern w:val="0"/>
                <w:sz w:val="24"/>
                <w:szCs w:val="24"/>
              </w:rPr>
              <w:t>.3</w:t>
            </w:r>
          </w:p>
        </w:tc>
        <w:tc>
          <w:tcPr>
            <w:tcW w:w="704" w:type="pct"/>
            <w:tcBorders>
              <w:top w:val="nil"/>
              <w:left w:val="nil"/>
              <w:bottom w:val="single" w:color="auto" w:sz="4" w:space="0"/>
              <w:right w:val="single" w:color="auto" w:sz="4" w:space="0"/>
            </w:tcBorders>
            <w:shd w:val="clear" w:color="auto" w:fill="auto"/>
            <w:vAlign w:val="center"/>
          </w:tcPr>
          <w:p w14:paraId="7244B461">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动态过程管控</w:t>
            </w:r>
          </w:p>
        </w:tc>
        <w:tc>
          <w:tcPr>
            <w:tcW w:w="548" w:type="pct"/>
            <w:tcBorders>
              <w:top w:val="nil"/>
              <w:left w:val="nil"/>
              <w:bottom w:val="single" w:color="auto" w:sz="4" w:space="0"/>
              <w:right w:val="single" w:color="auto" w:sz="4" w:space="0"/>
            </w:tcBorders>
            <w:shd w:val="clear" w:color="auto" w:fill="auto"/>
            <w:vAlign w:val="center"/>
          </w:tcPr>
          <w:p w14:paraId="38507FEE">
            <w:pPr>
              <w:widowControl/>
              <w:jc w:val="center"/>
              <w:rPr>
                <w:rFonts w:ascii="仿宋_GB2312" w:hAnsi="等线" w:eastAsia="仿宋_GB2312" w:cs="宋体"/>
                <w:color w:val="000000"/>
                <w:kern w:val="0"/>
                <w:sz w:val="24"/>
                <w:szCs w:val="24"/>
              </w:rPr>
            </w:pPr>
            <w:r>
              <w:rPr>
                <w:rFonts w:ascii="仿宋_GB2312" w:hAnsi="等线" w:eastAsia="仿宋_GB2312" w:cs="宋体"/>
                <w:color w:val="000000"/>
                <w:kern w:val="0"/>
                <w:sz w:val="24"/>
                <w:szCs w:val="24"/>
              </w:rPr>
              <w:t>643</w:t>
            </w:r>
          </w:p>
        </w:tc>
        <w:tc>
          <w:tcPr>
            <w:tcW w:w="469" w:type="pct"/>
            <w:tcBorders>
              <w:top w:val="nil"/>
              <w:left w:val="nil"/>
              <w:bottom w:val="single" w:color="auto" w:sz="4" w:space="0"/>
              <w:right w:val="single" w:color="auto" w:sz="4" w:space="0"/>
            </w:tcBorders>
            <w:shd w:val="clear" w:color="auto" w:fill="auto"/>
            <w:vAlign w:val="center"/>
          </w:tcPr>
          <w:p w14:paraId="7924952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w:t>
            </w:r>
            <w:r>
              <w:rPr>
                <w:rFonts w:ascii="仿宋_GB2312" w:hAnsi="等线" w:eastAsia="仿宋_GB2312" w:cs="宋体"/>
                <w:color w:val="000000"/>
                <w:kern w:val="0"/>
                <w:sz w:val="24"/>
                <w:szCs w:val="24"/>
              </w:rPr>
              <w:t>0</w:t>
            </w:r>
          </w:p>
        </w:tc>
        <w:tc>
          <w:tcPr>
            <w:tcW w:w="3047" w:type="pct"/>
            <w:tcBorders>
              <w:top w:val="single" w:color="auto" w:sz="4" w:space="0"/>
              <w:left w:val="nil"/>
              <w:bottom w:val="single" w:color="auto" w:sz="4" w:space="0"/>
              <w:right w:val="single" w:color="auto" w:sz="4" w:space="0"/>
            </w:tcBorders>
            <w:shd w:val="clear" w:color="auto" w:fill="auto"/>
            <w:vAlign w:val="center"/>
          </w:tcPr>
          <w:p w14:paraId="603B0AAE">
            <w:pPr>
              <w:widowControl/>
              <w:jc w:val="left"/>
              <w:rPr>
                <w:rFonts w:ascii="仿宋_GB2312" w:hAnsi="等线" w:eastAsia="仿宋_GB2312" w:cs="宋体"/>
                <w:color w:val="000000"/>
                <w:kern w:val="0"/>
                <w:sz w:val="24"/>
                <w:szCs w:val="24"/>
              </w:rPr>
            </w:pPr>
            <w:r>
              <w:rPr>
                <w:rFonts w:hint="eastAsia" w:ascii="仿宋_GB2312" w:hAnsi="等线" w:eastAsia="仿宋_GB2312" w:cs="宋体"/>
                <w:kern w:val="0"/>
                <w:sz w:val="24"/>
                <w:szCs w:val="24"/>
              </w:rPr>
              <w:t>根据《城市规划设计计费指导意见（2017）》第一条第1.1点，特大城市总体规划“专题研究”收费50万元。考虑到有较好的工作基础，按6折计取。</w:t>
            </w:r>
          </w:p>
        </w:tc>
      </w:tr>
      <w:tr w14:paraId="3D465144">
        <w:tblPrEx>
          <w:tblCellMar>
            <w:top w:w="0" w:type="dxa"/>
            <w:left w:w="0" w:type="dxa"/>
            <w:bottom w:w="0" w:type="dxa"/>
            <w:right w:w="0" w:type="dxa"/>
          </w:tblCellMar>
        </w:tblPrEx>
        <w:trPr>
          <w:trHeight w:val="504" w:hRule="atLeast"/>
        </w:trPr>
        <w:tc>
          <w:tcPr>
            <w:tcW w:w="232" w:type="pct"/>
            <w:tcBorders>
              <w:top w:val="nil"/>
              <w:left w:val="single" w:color="auto" w:sz="4" w:space="0"/>
              <w:bottom w:val="single" w:color="auto" w:sz="4" w:space="0"/>
              <w:right w:val="single" w:color="auto" w:sz="4" w:space="0"/>
            </w:tcBorders>
            <w:shd w:val="clear" w:color="000000" w:fill="D9D9D9"/>
            <w:vAlign w:val="center"/>
          </w:tcPr>
          <w:p w14:paraId="4B30A333">
            <w:pPr>
              <w:widowControl/>
              <w:jc w:val="center"/>
              <w:rPr>
                <w:rFonts w:ascii="仿宋_GB2312" w:hAnsi="等线" w:eastAsia="仿宋_GB2312" w:cs="宋体"/>
                <w:b/>
                <w:color w:val="000000"/>
                <w:kern w:val="0"/>
                <w:sz w:val="24"/>
                <w:szCs w:val="24"/>
              </w:rPr>
            </w:pPr>
            <w:r>
              <w:rPr>
                <w:rFonts w:hint="eastAsia" w:ascii="仿宋_GB2312" w:hAnsi="等线" w:eastAsia="仿宋_GB2312" w:cs="宋体"/>
                <w:b/>
                <w:color w:val="000000"/>
                <w:kern w:val="0"/>
                <w:sz w:val="24"/>
                <w:szCs w:val="24"/>
              </w:rPr>
              <w:t>四</w:t>
            </w:r>
          </w:p>
        </w:tc>
        <w:tc>
          <w:tcPr>
            <w:tcW w:w="704" w:type="pct"/>
            <w:tcBorders>
              <w:top w:val="nil"/>
              <w:left w:val="nil"/>
              <w:bottom w:val="single" w:color="auto" w:sz="4" w:space="0"/>
              <w:right w:val="single" w:color="auto" w:sz="4" w:space="0"/>
            </w:tcBorders>
            <w:shd w:val="clear" w:color="000000" w:fill="D9D9D9"/>
            <w:vAlign w:val="center"/>
          </w:tcPr>
          <w:p w14:paraId="27AC664D">
            <w:pPr>
              <w:widowControl/>
              <w:jc w:val="center"/>
              <w:rPr>
                <w:rFonts w:ascii="仿宋_GB2312" w:hAnsi="等线" w:eastAsia="仿宋_GB2312" w:cs="宋体"/>
                <w:b/>
                <w:color w:val="000000"/>
                <w:kern w:val="0"/>
                <w:sz w:val="24"/>
                <w:szCs w:val="24"/>
              </w:rPr>
            </w:pPr>
            <w:r>
              <w:rPr>
                <w:rFonts w:hint="eastAsia" w:ascii="仿宋_GB2312" w:hAnsi="等线" w:eastAsia="仿宋_GB2312" w:cs="宋体"/>
                <w:b/>
                <w:color w:val="000000"/>
                <w:kern w:val="0"/>
                <w:sz w:val="24"/>
                <w:szCs w:val="24"/>
              </w:rPr>
              <w:t>专项评估</w:t>
            </w:r>
          </w:p>
        </w:tc>
        <w:tc>
          <w:tcPr>
            <w:tcW w:w="548" w:type="pct"/>
            <w:tcBorders>
              <w:top w:val="nil"/>
              <w:left w:val="nil"/>
              <w:bottom w:val="single" w:color="auto" w:sz="4" w:space="0"/>
              <w:right w:val="single" w:color="auto" w:sz="4" w:space="0"/>
            </w:tcBorders>
            <w:shd w:val="clear" w:color="000000" w:fill="D9D9D9"/>
            <w:vAlign w:val="center"/>
          </w:tcPr>
          <w:p w14:paraId="202D2579">
            <w:pPr>
              <w:widowControl/>
              <w:jc w:val="center"/>
              <w:rPr>
                <w:rFonts w:ascii="仿宋_GB2312" w:hAnsi="等线" w:eastAsia="仿宋_GB2312" w:cs="宋体"/>
                <w:b/>
                <w:kern w:val="0"/>
                <w:sz w:val="24"/>
                <w:szCs w:val="24"/>
              </w:rPr>
            </w:pPr>
            <w:r>
              <w:rPr>
                <w:rFonts w:hint="eastAsia" w:ascii="仿宋_GB2312" w:hAnsi="等线" w:eastAsia="仿宋_GB2312" w:cs="宋体"/>
                <w:b/>
                <w:kern w:val="0"/>
                <w:sz w:val="24"/>
                <w:szCs w:val="24"/>
              </w:rPr>
              <w:t>——</w:t>
            </w:r>
          </w:p>
        </w:tc>
        <w:tc>
          <w:tcPr>
            <w:tcW w:w="469" w:type="pct"/>
            <w:tcBorders>
              <w:top w:val="nil"/>
              <w:left w:val="nil"/>
              <w:bottom w:val="single" w:color="auto" w:sz="4" w:space="0"/>
              <w:right w:val="single" w:color="auto" w:sz="4" w:space="0"/>
            </w:tcBorders>
            <w:shd w:val="clear" w:color="000000" w:fill="D9D9D9"/>
            <w:vAlign w:val="center"/>
          </w:tcPr>
          <w:p w14:paraId="2CB6EA3A">
            <w:pPr>
              <w:widowControl/>
              <w:jc w:val="center"/>
              <w:rPr>
                <w:rFonts w:ascii="仿宋_GB2312" w:hAnsi="等线" w:eastAsia="仿宋_GB2312" w:cs="宋体"/>
                <w:b/>
                <w:bCs/>
                <w:kern w:val="0"/>
                <w:sz w:val="24"/>
                <w:szCs w:val="24"/>
              </w:rPr>
            </w:pPr>
            <w:r>
              <w:rPr>
                <w:rFonts w:hint="eastAsia" w:ascii="仿宋_GB2312" w:hAnsi="等线" w:eastAsia="仿宋_GB2312" w:cs="宋体"/>
                <w:b/>
                <w:bCs/>
                <w:kern w:val="0"/>
                <w:sz w:val="24"/>
                <w:szCs w:val="24"/>
              </w:rPr>
              <w:t xml:space="preserve">463 </w:t>
            </w:r>
          </w:p>
        </w:tc>
        <w:tc>
          <w:tcPr>
            <w:tcW w:w="3047" w:type="pct"/>
            <w:tcBorders>
              <w:top w:val="nil"/>
              <w:left w:val="nil"/>
              <w:bottom w:val="single" w:color="auto" w:sz="4" w:space="0"/>
              <w:right w:val="single" w:color="auto" w:sz="4" w:space="0"/>
            </w:tcBorders>
            <w:shd w:val="clear" w:color="000000" w:fill="D9D9D9"/>
            <w:vAlign w:val="center"/>
          </w:tcPr>
          <w:p w14:paraId="5A3283A2">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w:t>
            </w:r>
          </w:p>
        </w:tc>
      </w:tr>
      <w:tr w14:paraId="4FDD3784">
        <w:tblPrEx>
          <w:tblCellMar>
            <w:top w:w="0" w:type="dxa"/>
            <w:left w:w="0" w:type="dxa"/>
            <w:bottom w:w="0" w:type="dxa"/>
            <w:right w:w="0" w:type="dxa"/>
          </w:tblCellMar>
        </w:tblPrEx>
        <w:trPr>
          <w:trHeight w:val="2217" w:hRule="atLeast"/>
        </w:trPr>
        <w:tc>
          <w:tcPr>
            <w:tcW w:w="232" w:type="pct"/>
            <w:tcBorders>
              <w:top w:val="nil"/>
              <w:left w:val="single" w:color="auto" w:sz="4" w:space="0"/>
              <w:bottom w:val="single" w:color="auto" w:sz="4" w:space="0"/>
              <w:right w:val="single" w:color="auto" w:sz="4" w:space="0"/>
            </w:tcBorders>
            <w:shd w:val="clear" w:color="auto" w:fill="auto"/>
            <w:vAlign w:val="center"/>
          </w:tcPr>
          <w:p w14:paraId="10A74A18">
            <w:pPr>
              <w:widowControl/>
              <w:jc w:val="center"/>
              <w:rPr>
                <w:rFonts w:ascii="仿宋_GB2312" w:hAnsi="等线" w:eastAsia="仿宋_GB2312" w:cs="宋体"/>
                <w:color w:val="000000"/>
                <w:kern w:val="0"/>
                <w:sz w:val="24"/>
                <w:szCs w:val="24"/>
              </w:rPr>
            </w:pPr>
            <w:r>
              <w:rPr>
                <w:rFonts w:ascii="仿宋_GB2312" w:hAnsi="等线" w:eastAsia="仿宋_GB2312" w:cs="宋体"/>
                <w:color w:val="000000"/>
                <w:kern w:val="0"/>
                <w:sz w:val="24"/>
                <w:szCs w:val="24"/>
              </w:rPr>
              <w:t>4</w:t>
            </w:r>
            <w:r>
              <w:rPr>
                <w:rFonts w:hint="eastAsia" w:ascii="仿宋_GB2312" w:hAnsi="等线" w:eastAsia="仿宋_GB2312" w:cs="宋体"/>
                <w:color w:val="000000"/>
                <w:kern w:val="0"/>
                <w:sz w:val="24"/>
                <w:szCs w:val="24"/>
              </w:rPr>
              <w:t>.1</w:t>
            </w:r>
          </w:p>
        </w:tc>
        <w:tc>
          <w:tcPr>
            <w:tcW w:w="704" w:type="pct"/>
            <w:tcBorders>
              <w:top w:val="nil"/>
              <w:left w:val="nil"/>
              <w:bottom w:val="single" w:color="auto" w:sz="4" w:space="0"/>
              <w:right w:val="single" w:color="auto" w:sz="4" w:space="0"/>
            </w:tcBorders>
            <w:shd w:val="clear" w:color="auto" w:fill="auto"/>
            <w:vAlign w:val="center"/>
          </w:tcPr>
          <w:p w14:paraId="60F4B48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交通专项及交通影响评估</w:t>
            </w:r>
          </w:p>
        </w:tc>
        <w:tc>
          <w:tcPr>
            <w:tcW w:w="548" w:type="pct"/>
            <w:tcBorders>
              <w:top w:val="nil"/>
              <w:left w:val="nil"/>
              <w:bottom w:val="single" w:color="auto" w:sz="4" w:space="0"/>
              <w:right w:val="single" w:color="auto" w:sz="4" w:space="0"/>
            </w:tcBorders>
            <w:shd w:val="clear" w:color="auto" w:fill="auto"/>
            <w:vAlign w:val="center"/>
          </w:tcPr>
          <w:p w14:paraId="53F5E7B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316</w:t>
            </w:r>
          </w:p>
        </w:tc>
        <w:tc>
          <w:tcPr>
            <w:tcW w:w="469" w:type="pct"/>
            <w:tcBorders>
              <w:top w:val="nil"/>
              <w:left w:val="nil"/>
              <w:bottom w:val="single" w:color="auto" w:sz="4" w:space="0"/>
              <w:right w:val="single" w:color="auto" w:sz="4" w:space="0"/>
            </w:tcBorders>
            <w:shd w:val="clear" w:color="auto" w:fill="auto"/>
            <w:vAlign w:val="center"/>
          </w:tcPr>
          <w:p w14:paraId="07CC06DB">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r>
              <w:rPr>
                <w:rFonts w:ascii="仿宋_GB2312" w:hAnsi="等线" w:eastAsia="仿宋_GB2312" w:cs="宋体"/>
                <w:color w:val="000000"/>
                <w:kern w:val="0"/>
                <w:sz w:val="24"/>
                <w:szCs w:val="24"/>
              </w:rPr>
              <w:t>7</w:t>
            </w:r>
            <w:r>
              <w:rPr>
                <w:rFonts w:hint="eastAsia" w:ascii="仿宋_GB2312" w:hAnsi="等线" w:eastAsia="仿宋_GB2312" w:cs="宋体"/>
                <w:color w:val="000000"/>
                <w:kern w:val="0"/>
                <w:sz w:val="24"/>
                <w:szCs w:val="24"/>
              </w:rPr>
              <w:t>0</w:t>
            </w:r>
          </w:p>
        </w:tc>
        <w:tc>
          <w:tcPr>
            <w:tcW w:w="3047" w:type="pct"/>
            <w:tcBorders>
              <w:top w:val="nil"/>
              <w:left w:val="nil"/>
              <w:bottom w:val="single" w:color="auto" w:sz="4" w:space="0"/>
              <w:right w:val="single" w:color="auto" w:sz="4" w:space="0"/>
            </w:tcBorders>
            <w:shd w:val="clear" w:color="auto" w:fill="auto"/>
            <w:vAlign w:val="center"/>
          </w:tcPr>
          <w:p w14:paraId="46AF3140">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1、控规调整交通专项部分：依据10.1.2区域综合交通规划计费标准，2-5平方公里按35万元/平方公里计费。2、控规调整交通影响评估部分：依据10.7交通影响评估计费标准，大于100万</w:t>
            </w:r>
            <w:r>
              <w:rPr>
                <w:rFonts w:hint="eastAsia" w:ascii="Segoe UI Symbol" w:hAnsi="Segoe UI Symbol" w:eastAsia="Segoe UI Symbol" w:cs="Segoe UI Symbol"/>
                <w:kern w:val="0"/>
                <w:sz w:val="24"/>
                <w:szCs w:val="24"/>
              </w:rPr>
              <w:t>㎡</w:t>
            </w:r>
            <w:r>
              <w:rPr>
                <w:rFonts w:hint="eastAsia" w:ascii="仿宋_GB2312" w:hAnsi="仿宋_GB2312" w:eastAsia="仿宋_GB2312" w:cs="仿宋_GB2312"/>
                <w:kern w:val="0"/>
                <w:sz w:val="24"/>
                <w:szCs w:val="24"/>
              </w:rPr>
              <w:t>按</w:t>
            </w:r>
            <w:r>
              <w:rPr>
                <w:rFonts w:hint="eastAsia" w:ascii="仿宋_GB2312" w:hAnsi="等线" w:eastAsia="仿宋_GB2312" w:cs="宋体"/>
                <w:kern w:val="0"/>
                <w:sz w:val="24"/>
                <w:szCs w:val="24"/>
              </w:rPr>
              <w:t>1万元/万</w:t>
            </w:r>
            <w:r>
              <w:rPr>
                <w:rFonts w:hint="eastAsia" w:ascii="Segoe UI Symbol" w:hAnsi="Segoe UI Symbol" w:eastAsia="Segoe UI Symbol" w:cs="Segoe UI Symbol"/>
                <w:kern w:val="0"/>
                <w:sz w:val="24"/>
                <w:szCs w:val="24"/>
              </w:rPr>
              <w:t>㎡</w:t>
            </w:r>
            <w:r>
              <w:rPr>
                <w:rFonts w:hint="eastAsia" w:ascii="仿宋_GB2312" w:hAnsi="仿宋_GB2312" w:eastAsia="仿宋_GB2312" w:cs="仿宋_GB2312"/>
                <w:kern w:val="0"/>
                <w:sz w:val="24"/>
                <w:szCs w:val="24"/>
              </w:rPr>
              <w:t>计费，预估控规调整范围内扣除改造范围及红卫村规划范围后的开发量约</w:t>
            </w:r>
            <w:r>
              <w:rPr>
                <w:rFonts w:hint="eastAsia" w:ascii="仿宋_GB2312" w:hAnsi="等线" w:eastAsia="仿宋_GB2312" w:cs="宋体"/>
                <w:kern w:val="0"/>
                <w:sz w:val="24"/>
                <w:szCs w:val="24"/>
              </w:rPr>
              <w:t>400万</w:t>
            </w:r>
            <w:r>
              <w:rPr>
                <w:rFonts w:hint="eastAsia" w:ascii="Segoe UI Symbol" w:hAnsi="Segoe UI Symbol" w:eastAsia="Segoe UI Symbol" w:cs="Segoe UI Symbol"/>
                <w:kern w:val="0"/>
                <w:sz w:val="24"/>
                <w:szCs w:val="24"/>
              </w:rPr>
              <w:t>㎡</w:t>
            </w:r>
            <w:r>
              <w:rPr>
                <w:rFonts w:hint="eastAsia" w:ascii="仿宋_GB2312" w:hAnsi="仿宋_GB2312" w:eastAsia="仿宋_GB2312" w:cs="仿宋_GB2312"/>
                <w:kern w:val="0"/>
                <w:sz w:val="24"/>
                <w:szCs w:val="24"/>
              </w:rPr>
              <w:t>，考虑交通专项规划工作基础，予以</w:t>
            </w:r>
            <w:r>
              <w:rPr>
                <w:rFonts w:hint="eastAsia" w:ascii="仿宋_GB2312" w:hAnsi="等线" w:eastAsia="仿宋_GB2312" w:cs="宋体"/>
                <w:kern w:val="0"/>
                <w:sz w:val="24"/>
                <w:szCs w:val="24"/>
              </w:rPr>
              <w:t>0.5系数。</w:t>
            </w:r>
          </w:p>
        </w:tc>
      </w:tr>
      <w:tr w14:paraId="44B52EC8">
        <w:tblPrEx>
          <w:tblCellMar>
            <w:top w:w="0" w:type="dxa"/>
            <w:left w:w="0" w:type="dxa"/>
            <w:bottom w:w="0" w:type="dxa"/>
            <w:right w:w="0" w:type="dxa"/>
          </w:tblCellMar>
        </w:tblPrEx>
        <w:trPr>
          <w:trHeight w:val="987" w:hRule="atLeast"/>
        </w:trPr>
        <w:tc>
          <w:tcPr>
            <w:tcW w:w="232" w:type="pct"/>
            <w:tcBorders>
              <w:top w:val="nil"/>
              <w:left w:val="single" w:color="auto" w:sz="4" w:space="0"/>
              <w:bottom w:val="single" w:color="auto" w:sz="4" w:space="0"/>
              <w:right w:val="single" w:color="auto" w:sz="4" w:space="0"/>
            </w:tcBorders>
            <w:shd w:val="clear" w:color="auto" w:fill="auto"/>
            <w:vAlign w:val="center"/>
          </w:tcPr>
          <w:p w14:paraId="5794A199">
            <w:pPr>
              <w:widowControl/>
              <w:jc w:val="center"/>
              <w:rPr>
                <w:rFonts w:ascii="仿宋_GB2312" w:hAnsi="等线" w:eastAsia="仿宋_GB2312" w:cs="宋体"/>
                <w:color w:val="000000"/>
                <w:kern w:val="0"/>
                <w:sz w:val="24"/>
                <w:szCs w:val="24"/>
              </w:rPr>
            </w:pPr>
            <w:r>
              <w:rPr>
                <w:rFonts w:ascii="仿宋_GB2312" w:hAnsi="等线" w:eastAsia="仿宋_GB2312" w:cs="宋体"/>
                <w:color w:val="000000"/>
                <w:kern w:val="0"/>
                <w:sz w:val="24"/>
                <w:szCs w:val="24"/>
              </w:rPr>
              <w:t>4</w:t>
            </w:r>
            <w:r>
              <w:rPr>
                <w:rFonts w:hint="eastAsia" w:ascii="仿宋_GB2312" w:hAnsi="等线" w:eastAsia="仿宋_GB2312" w:cs="宋体"/>
                <w:color w:val="000000"/>
                <w:kern w:val="0"/>
                <w:sz w:val="24"/>
                <w:szCs w:val="24"/>
              </w:rPr>
              <w:t>.2</w:t>
            </w:r>
          </w:p>
        </w:tc>
        <w:tc>
          <w:tcPr>
            <w:tcW w:w="704" w:type="pct"/>
            <w:tcBorders>
              <w:top w:val="nil"/>
              <w:left w:val="nil"/>
              <w:bottom w:val="single" w:color="auto" w:sz="4" w:space="0"/>
              <w:right w:val="single" w:color="auto" w:sz="4" w:space="0"/>
            </w:tcBorders>
            <w:shd w:val="clear" w:color="auto" w:fill="auto"/>
            <w:vAlign w:val="center"/>
          </w:tcPr>
          <w:p w14:paraId="7112D0D8">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历史文化遗产保护专章</w:t>
            </w:r>
          </w:p>
        </w:tc>
        <w:tc>
          <w:tcPr>
            <w:tcW w:w="548" w:type="pct"/>
            <w:tcBorders>
              <w:top w:val="nil"/>
              <w:left w:val="nil"/>
              <w:bottom w:val="single" w:color="auto" w:sz="4" w:space="0"/>
              <w:right w:val="single" w:color="auto" w:sz="4" w:space="0"/>
            </w:tcBorders>
            <w:shd w:val="clear" w:color="auto" w:fill="auto"/>
            <w:vAlign w:val="center"/>
          </w:tcPr>
          <w:p w14:paraId="1DE8C340">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316</w:t>
            </w:r>
          </w:p>
        </w:tc>
        <w:tc>
          <w:tcPr>
            <w:tcW w:w="469" w:type="pct"/>
            <w:tcBorders>
              <w:top w:val="nil"/>
              <w:left w:val="nil"/>
              <w:bottom w:val="single" w:color="auto" w:sz="4" w:space="0"/>
              <w:right w:val="single" w:color="auto" w:sz="4" w:space="0"/>
            </w:tcBorders>
            <w:shd w:val="clear" w:color="auto" w:fill="auto"/>
            <w:vAlign w:val="center"/>
          </w:tcPr>
          <w:p w14:paraId="1C9BBC5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20</w:t>
            </w:r>
          </w:p>
        </w:tc>
        <w:tc>
          <w:tcPr>
            <w:tcW w:w="3047" w:type="pct"/>
            <w:tcBorders>
              <w:top w:val="nil"/>
              <w:left w:val="nil"/>
              <w:bottom w:val="single" w:color="auto" w:sz="4" w:space="0"/>
              <w:right w:val="single" w:color="auto" w:sz="4" w:space="0"/>
            </w:tcBorders>
            <w:shd w:val="clear" w:color="auto" w:fill="auto"/>
            <w:vAlign w:val="center"/>
          </w:tcPr>
          <w:p w14:paraId="415F5984">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根据《城市规划设计计费指导意见（2017）》第一条第1.1点，特大城市总体规划“专题研究”收费50万元。考虑该片区工作基础较好，在现有计费标准上按4折计取。</w:t>
            </w:r>
          </w:p>
        </w:tc>
      </w:tr>
      <w:tr w14:paraId="61CC8493">
        <w:tblPrEx>
          <w:tblCellMar>
            <w:top w:w="0" w:type="dxa"/>
            <w:left w:w="0" w:type="dxa"/>
            <w:bottom w:w="0" w:type="dxa"/>
            <w:right w:w="0" w:type="dxa"/>
          </w:tblCellMar>
        </w:tblPrEx>
        <w:trPr>
          <w:trHeight w:val="1005" w:hRule="atLeast"/>
        </w:trPr>
        <w:tc>
          <w:tcPr>
            <w:tcW w:w="232" w:type="pct"/>
            <w:tcBorders>
              <w:top w:val="nil"/>
              <w:left w:val="single" w:color="auto" w:sz="4" w:space="0"/>
              <w:bottom w:val="single" w:color="auto" w:sz="4" w:space="0"/>
              <w:right w:val="single" w:color="auto" w:sz="4" w:space="0"/>
            </w:tcBorders>
            <w:shd w:val="clear" w:color="auto" w:fill="auto"/>
            <w:vAlign w:val="center"/>
          </w:tcPr>
          <w:p w14:paraId="39CCE495">
            <w:pPr>
              <w:widowControl/>
              <w:jc w:val="center"/>
              <w:rPr>
                <w:rFonts w:ascii="仿宋_GB2312" w:hAnsi="等线" w:eastAsia="仿宋_GB2312" w:cs="宋体"/>
                <w:color w:val="000000"/>
                <w:kern w:val="0"/>
                <w:sz w:val="24"/>
                <w:szCs w:val="24"/>
              </w:rPr>
            </w:pPr>
            <w:r>
              <w:rPr>
                <w:rFonts w:ascii="仿宋_GB2312" w:hAnsi="等线" w:eastAsia="仿宋_GB2312" w:cs="宋体"/>
                <w:color w:val="000000"/>
                <w:kern w:val="0"/>
                <w:sz w:val="24"/>
                <w:szCs w:val="24"/>
              </w:rPr>
              <w:t>4</w:t>
            </w:r>
            <w:r>
              <w:rPr>
                <w:rFonts w:hint="eastAsia" w:ascii="仿宋_GB2312" w:hAnsi="等线" w:eastAsia="仿宋_GB2312" w:cs="宋体"/>
                <w:color w:val="000000"/>
                <w:kern w:val="0"/>
                <w:sz w:val="24"/>
                <w:szCs w:val="24"/>
              </w:rPr>
              <w:t>.3</w:t>
            </w:r>
          </w:p>
        </w:tc>
        <w:tc>
          <w:tcPr>
            <w:tcW w:w="704" w:type="pct"/>
            <w:tcBorders>
              <w:top w:val="nil"/>
              <w:left w:val="nil"/>
              <w:bottom w:val="single" w:color="auto" w:sz="4" w:space="0"/>
              <w:right w:val="single" w:color="auto" w:sz="4" w:space="0"/>
            </w:tcBorders>
            <w:shd w:val="clear" w:color="auto" w:fill="auto"/>
            <w:vAlign w:val="center"/>
          </w:tcPr>
          <w:p w14:paraId="0FCD7166">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环境影响评估</w:t>
            </w:r>
          </w:p>
        </w:tc>
        <w:tc>
          <w:tcPr>
            <w:tcW w:w="548" w:type="pct"/>
            <w:tcBorders>
              <w:top w:val="nil"/>
              <w:left w:val="nil"/>
              <w:bottom w:val="single" w:color="auto" w:sz="4" w:space="0"/>
              <w:right w:val="single" w:color="auto" w:sz="4" w:space="0"/>
            </w:tcBorders>
            <w:shd w:val="clear" w:color="auto" w:fill="auto"/>
            <w:vAlign w:val="center"/>
          </w:tcPr>
          <w:p w14:paraId="27851FA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316</w:t>
            </w:r>
          </w:p>
        </w:tc>
        <w:tc>
          <w:tcPr>
            <w:tcW w:w="469" w:type="pct"/>
            <w:tcBorders>
              <w:top w:val="nil"/>
              <w:left w:val="nil"/>
              <w:bottom w:val="single" w:color="auto" w:sz="4" w:space="0"/>
              <w:right w:val="single" w:color="auto" w:sz="4" w:space="0"/>
            </w:tcBorders>
            <w:shd w:val="clear" w:color="auto" w:fill="auto"/>
            <w:vAlign w:val="center"/>
          </w:tcPr>
          <w:p w14:paraId="751D661D">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33</w:t>
            </w:r>
          </w:p>
        </w:tc>
        <w:tc>
          <w:tcPr>
            <w:tcW w:w="3047" w:type="pct"/>
            <w:tcBorders>
              <w:top w:val="nil"/>
              <w:left w:val="nil"/>
              <w:bottom w:val="single" w:color="auto" w:sz="4" w:space="0"/>
              <w:right w:val="single" w:color="auto" w:sz="4" w:space="0"/>
            </w:tcBorders>
            <w:shd w:val="clear" w:color="auto" w:fill="auto"/>
            <w:vAlign w:val="center"/>
          </w:tcPr>
          <w:p w14:paraId="011F1C90">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改造方案阶段范围281公顷，环境影响评估费用为60万，单价为0.21万/公顷，本次控规阶段环评按该单价进行计费。考虑该片区工作基础较好，在现有计费标准上按5折计取。</w:t>
            </w:r>
          </w:p>
        </w:tc>
      </w:tr>
      <w:tr w14:paraId="1CAA6F66">
        <w:tblPrEx>
          <w:tblCellMar>
            <w:top w:w="0" w:type="dxa"/>
            <w:left w:w="0" w:type="dxa"/>
            <w:bottom w:w="0" w:type="dxa"/>
            <w:right w:w="0" w:type="dxa"/>
          </w:tblCellMar>
        </w:tblPrEx>
        <w:trPr>
          <w:trHeight w:val="1344" w:hRule="atLeast"/>
        </w:trPr>
        <w:tc>
          <w:tcPr>
            <w:tcW w:w="232" w:type="pct"/>
            <w:tcBorders>
              <w:top w:val="nil"/>
              <w:left w:val="single" w:color="auto" w:sz="4" w:space="0"/>
              <w:bottom w:val="single" w:color="auto" w:sz="4" w:space="0"/>
              <w:right w:val="single" w:color="auto" w:sz="4" w:space="0"/>
            </w:tcBorders>
            <w:shd w:val="clear" w:color="auto" w:fill="auto"/>
            <w:vAlign w:val="center"/>
          </w:tcPr>
          <w:p w14:paraId="0E3AAD6D">
            <w:pPr>
              <w:widowControl/>
              <w:jc w:val="center"/>
              <w:rPr>
                <w:rFonts w:ascii="仿宋_GB2312" w:hAnsi="等线" w:eastAsia="仿宋_GB2312" w:cs="宋体"/>
                <w:color w:val="000000"/>
                <w:kern w:val="0"/>
                <w:sz w:val="24"/>
                <w:szCs w:val="24"/>
              </w:rPr>
            </w:pPr>
            <w:r>
              <w:rPr>
                <w:rFonts w:ascii="仿宋_GB2312" w:hAnsi="等线" w:eastAsia="仿宋_GB2312" w:cs="宋体"/>
                <w:color w:val="000000"/>
                <w:kern w:val="0"/>
                <w:sz w:val="24"/>
                <w:szCs w:val="24"/>
              </w:rPr>
              <w:t>4</w:t>
            </w:r>
            <w:r>
              <w:rPr>
                <w:rFonts w:hint="eastAsia" w:ascii="仿宋_GB2312" w:hAnsi="等线" w:eastAsia="仿宋_GB2312" w:cs="宋体"/>
                <w:color w:val="000000"/>
                <w:kern w:val="0"/>
                <w:sz w:val="24"/>
                <w:szCs w:val="24"/>
              </w:rPr>
              <w:t>.4</w:t>
            </w:r>
          </w:p>
        </w:tc>
        <w:tc>
          <w:tcPr>
            <w:tcW w:w="704" w:type="pct"/>
            <w:tcBorders>
              <w:top w:val="nil"/>
              <w:left w:val="nil"/>
              <w:bottom w:val="single" w:color="auto" w:sz="4" w:space="0"/>
              <w:right w:val="single" w:color="auto" w:sz="4" w:space="0"/>
            </w:tcBorders>
            <w:shd w:val="clear" w:color="auto" w:fill="auto"/>
            <w:vAlign w:val="center"/>
          </w:tcPr>
          <w:p w14:paraId="48434BD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社会稳定性评估</w:t>
            </w:r>
          </w:p>
        </w:tc>
        <w:tc>
          <w:tcPr>
            <w:tcW w:w="548" w:type="pct"/>
            <w:tcBorders>
              <w:top w:val="nil"/>
              <w:left w:val="nil"/>
              <w:bottom w:val="single" w:color="auto" w:sz="4" w:space="0"/>
              <w:right w:val="single" w:color="auto" w:sz="4" w:space="0"/>
            </w:tcBorders>
            <w:shd w:val="clear" w:color="auto" w:fill="auto"/>
            <w:vAlign w:val="center"/>
          </w:tcPr>
          <w:p w14:paraId="693F37CD">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316</w:t>
            </w:r>
          </w:p>
        </w:tc>
        <w:tc>
          <w:tcPr>
            <w:tcW w:w="469" w:type="pct"/>
            <w:tcBorders>
              <w:top w:val="nil"/>
              <w:left w:val="nil"/>
              <w:bottom w:val="single" w:color="auto" w:sz="4" w:space="0"/>
              <w:right w:val="single" w:color="auto" w:sz="4" w:space="0"/>
            </w:tcBorders>
            <w:shd w:val="clear" w:color="auto" w:fill="auto"/>
            <w:vAlign w:val="center"/>
          </w:tcPr>
          <w:p w14:paraId="63DFFAEF">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30</w:t>
            </w:r>
          </w:p>
        </w:tc>
        <w:tc>
          <w:tcPr>
            <w:tcW w:w="3047" w:type="pct"/>
            <w:tcBorders>
              <w:top w:val="nil"/>
              <w:left w:val="nil"/>
              <w:bottom w:val="single" w:color="auto" w:sz="4" w:space="0"/>
              <w:right w:val="single" w:color="auto" w:sz="4" w:space="0"/>
            </w:tcBorders>
            <w:shd w:val="clear" w:color="auto" w:fill="auto"/>
            <w:vAlign w:val="center"/>
          </w:tcPr>
          <w:p w14:paraId="349179AC">
            <w:pPr>
              <w:widowControl/>
              <w:jc w:val="left"/>
              <w:rPr>
                <w:rFonts w:ascii="仿宋_GB2312" w:hAnsi="等线" w:eastAsia="仿宋_GB2312" w:cs="宋体"/>
                <w:kern w:val="0"/>
                <w:sz w:val="24"/>
                <w:szCs w:val="24"/>
              </w:rPr>
            </w:pPr>
            <w:bookmarkStart w:id="10" w:name="OLE_LINK4"/>
            <w:bookmarkStart w:id="11" w:name="OLE_LINK5"/>
            <w:r>
              <w:rPr>
                <w:rFonts w:hint="eastAsia" w:ascii="仿宋_GB2312" w:hAnsi="等线" w:eastAsia="仿宋_GB2312" w:cs="宋体"/>
                <w:kern w:val="0"/>
                <w:sz w:val="24"/>
                <w:szCs w:val="24"/>
              </w:rPr>
              <w:t>根据《城市规划设计计费指导意见（2017）》第一条第1.1点，特大城市总体规划“专题研究”收费50万元。考虑该片区工作基础较好，在现有计费标准按6折计取。</w:t>
            </w:r>
            <w:bookmarkEnd w:id="10"/>
            <w:bookmarkEnd w:id="11"/>
          </w:p>
        </w:tc>
      </w:tr>
      <w:tr w14:paraId="3DBCFA4D">
        <w:tblPrEx>
          <w:tblCellMar>
            <w:top w:w="0" w:type="dxa"/>
            <w:left w:w="0" w:type="dxa"/>
            <w:bottom w:w="0" w:type="dxa"/>
            <w:right w:w="0" w:type="dxa"/>
          </w:tblCellMar>
        </w:tblPrEx>
        <w:trPr>
          <w:trHeight w:val="3927" w:hRule="atLeast"/>
        </w:trPr>
        <w:tc>
          <w:tcPr>
            <w:tcW w:w="232" w:type="pct"/>
            <w:tcBorders>
              <w:top w:val="nil"/>
              <w:left w:val="single" w:color="auto" w:sz="4" w:space="0"/>
              <w:bottom w:val="single" w:color="auto" w:sz="4" w:space="0"/>
              <w:right w:val="single" w:color="auto" w:sz="4" w:space="0"/>
            </w:tcBorders>
            <w:shd w:val="clear" w:color="auto" w:fill="auto"/>
            <w:vAlign w:val="center"/>
          </w:tcPr>
          <w:p w14:paraId="6EDC7925">
            <w:pPr>
              <w:widowControl/>
              <w:jc w:val="center"/>
              <w:rPr>
                <w:rFonts w:ascii="仿宋_GB2312" w:hAnsi="等线" w:eastAsia="仿宋_GB2312" w:cs="宋体"/>
                <w:color w:val="000000"/>
                <w:kern w:val="0"/>
                <w:sz w:val="24"/>
                <w:szCs w:val="24"/>
              </w:rPr>
            </w:pPr>
            <w:r>
              <w:rPr>
                <w:rFonts w:ascii="仿宋_GB2312" w:hAnsi="等线" w:eastAsia="仿宋_GB2312" w:cs="宋体"/>
                <w:color w:val="000000"/>
                <w:kern w:val="0"/>
                <w:sz w:val="24"/>
                <w:szCs w:val="24"/>
              </w:rPr>
              <w:t>4</w:t>
            </w:r>
            <w:r>
              <w:rPr>
                <w:rFonts w:hint="eastAsia" w:ascii="仿宋_GB2312" w:hAnsi="等线" w:eastAsia="仿宋_GB2312" w:cs="宋体"/>
                <w:color w:val="000000"/>
                <w:kern w:val="0"/>
                <w:sz w:val="24"/>
                <w:szCs w:val="24"/>
              </w:rPr>
              <w:t>.5</w:t>
            </w:r>
          </w:p>
        </w:tc>
        <w:tc>
          <w:tcPr>
            <w:tcW w:w="704" w:type="pct"/>
            <w:tcBorders>
              <w:top w:val="nil"/>
              <w:left w:val="nil"/>
              <w:bottom w:val="single" w:color="auto" w:sz="4" w:space="0"/>
              <w:right w:val="single" w:color="auto" w:sz="4" w:space="0"/>
            </w:tcBorders>
            <w:shd w:val="clear" w:color="auto" w:fill="auto"/>
            <w:vAlign w:val="center"/>
          </w:tcPr>
          <w:p w14:paraId="39A010C7">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市政专章（含竖向工程专章）</w:t>
            </w:r>
          </w:p>
        </w:tc>
        <w:tc>
          <w:tcPr>
            <w:tcW w:w="548" w:type="pct"/>
            <w:tcBorders>
              <w:top w:val="nil"/>
              <w:left w:val="nil"/>
              <w:bottom w:val="single" w:color="auto" w:sz="4" w:space="0"/>
              <w:right w:val="single" w:color="auto" w:sz="4" w:space="0"/>
            </w:tcBorders>
            <w:shd w:val="clear" w:color="auto" w:fill="auto"/>
            <w:vAlign w:val="center"/>
          </w:tcPr>
          <w:p w14:paraId="24E7908B">
            <w:pPr>
              <w:widowControl/>
              <w:jc w:val="center"/>
              <w:rPr>
                <w:rFonts w:ascii="仿宋_GB2312" w:hAnsi="等线" w:eastAsia="仿宋_GB2312" w:cs="宋体"/>
                <w:kern w:val="0"/>
                <w:sz w:val="24"/>
                <w:szCs w:val="24"/>
              </w:rPr>
            </w:pPr>
            <w:r>
              <w:rPr>
                <w:rFonts w:ascii="仿宋_GB2312" w:hAnsi="等线" w:eastAsia="仿宋_GB2312" w:cs="宋体"/>
                <w:kern w:val="0"/>
                <w:sz w:val="24"/>
                <w:szCs w:val="24"/>
              </w:rPr>
              <w:t>316</w:t>
            </w:r>
          </w:p>
        </w:tc>
        <w:tc>
          <w:tcPr>
            <w:tcW w:w="469" w:type="pct"/>
            <w:tcBorders>
              <w:top w:val="nil"/>
              <w:left w:val="nil"/>
              <w:bottom w:val="single" w:color="auto" w:sz="4" w:space="0"/>
              <w:right w:val="single" w:color="auto" w:sz="4" w:space="0"/>
            </w:tcBorders>
            <w:shd w:val="clear" w:color="auto" w:fill="auto"/>
            <w:vAlign w:val="center"/>
          </w:tcPr>
          <w:p w14:paraId="409CD5BB">
            <w:pPr>
              <w:widowControl/>
              <w:jc w:val="center"/>
              <w:rPr>
                <w:rFonts w:ascii="仿宋_GB2312" w:hAnsi="等线" w:eastAsia="仿宋_GB2312" w:cs="宋体"/>
                <w:kern w:val="0"/>
                <w:sz w:val="24"/>
                <w:szCs w:val="24"/>
              </w:rPr>
            </w:pPr>
            <w:r>
              <w:rPr>
                <w:rFonts w:hint="eastAsia" w:ascii="仿宋_GB2312" w:hAnsi="等线" w:eastAsia="仿宋_GB2312" w:cs="宋体"/>
                <w:kern w:val="0"/>
                <w:sz w:val="24"/>
                <w:szCs w:val="24"/>
              </w:rPr>
              <w:t>100</w:t>
            </w:r>
          </w:p>
        </w:tc>
        <w:tc>
          <w:tcPr>
            <w:tcW w:w="3047" w:type="pct"/>
            <w:tcBorders>
              <w:top w:val="nil"/>
              <w:left w:val="nil"/>
              <w:bottom w:val="single" w:color="auto" w:sz="4" w:space="0"/>
              <w:right w:val="single" w:color="auto" w:sz="4" w:space="0"/>
            </w:tcBorders>
            <w:shd w:val="clear" w:color="auto" w:fill="auto"/>
            <w:vAlign w:val="center"/>
          </w:tcPr>
          <w:p w14:paraId="7B3D87FE">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1）给水、污水、雨水、燃气、通信、高压电力、10kV配电网、环卫：各专业规划分别按照《城市规划设计计费指导意见》（2017）第11.1的市政基础设施专项规划2万元/平方公里×5平方公里×专业系数计费。（2）消防：按照《城市规划设计计费指导意见》（2017）第11.1的市政基础设施专项专题规划计费基价20万的50%计费。（3）综合管廊：按照《城市规划设计计费指导意见》（2017）第11.3的综合管线规划计费基价30万的50%计费。（4）竖向工程：《城市规划设计计费指导意见》（2017）第3..2.1的编制修建性详细规划竖向规划内容，按修建性详细规划30%计费。</w:t>
            </w:r>
          </w:p>
        </w:tc>
      </w:tr>
      <w:tr w14:paraId="4550D57F">
        <w:tblPrEx>
          <w:tblCellMar>
            <w:top w:w="0" w:type="dxa"/>
            <w:left w:w="0" w:type="dxa"/>
            <w:bottom w:w="0" w:type="dxa"/>
            <w:right w:w="0" w:type="dxa"/>
          </w:tblCellMar>
        </w:tblPrEx>
        <w:trPr>
          <w:trHeight w:val="1261" w:hRule="atLeast"/>
        </w:trPr>
        <w:tc>
          <w:tcPr>
            <w:tcW w:w="232" w:type="pct"/>
            <w:tcBorders>
              <w:top w:val="nil"/>
              <w:left w:val="single" w:color="auto" w:sz="4" w:space="0"/>
              <w:bottom w:val="single" w:color="auto" w:sz="4" w:space="0"/>
              <w:right w:val="single" w:color="auto" w:sz="4" w:space="0"/>
            </w:tcBorders>
            <w:shd w:val="clear" w:color="auto" w:fill="auto"/>
            <w:vAlign w:val="center"/>
          </w:tcPr>
          <w:p w14:paraId="7378C7EE">
            <w:pPr>
              <w:widowControl/>
              <w:jc w:val="center"/>
              <w:rPr>
                <w:rFonts w:ascii="仿宋_GB2312" w:hAnsi="等线" w:eastAsia="仿宋_GB2312" w:cs="宋体"/>
                <w:color w:val="000000"/>
                <w:kern w:val="0"/>
                <w:sz w:val="24"/>
                <w:szCs w:val="24"/>
              </w:rPr>
            </w:pPr>
            <w:r>
              <w:rPr>
                <w:rFonts w:ascii="仿宋_GB2312" w:hAnsi="等线" w:eastAsia="仿宋_GB2312" w:cs="宋体"/>
                <w:color w:val="000000"/>
                <w:kern w:val="0"/>
                <w:sz w:val="24"/>
                <w:szCs w:val="24"/>
              </w:rPr>
              <w:t>4</w:t>
            </w:r>
            <w:r>
              <w:rPr>
                <w:rFonts w:hint="eastAsia" w:ascii="仿宋_GB2312" w:hAnsi="等线" w:eastAsia="仿宋_GB2312" w:cs="宋体"/>
                <w:color w:val="000000"/>
                <w:kern w:val="0"/>
                <w:sz w:val="24"/>
                <w:szCs w:val="24"/>
              </w:rPr>
              <w:t>.6</w:t>
            </w:r>
          </w:p>
        </w:tc>
        <w:tc>
          <w:tcPr>
            <w:tcW w:w="704" w:type="pct"/>
            <w:tcBorders>
              <w:top w:val="nil"/>
              <w:left w:val="nil"/>
              <w:bottom w:val="single" w:color="auto" w:sz="4" w:space="0"/>
              <w:right w:val="single" w:color="auto" w:sz="4" w:space="0"/>
            </w:tcBorders>
            <w:shd w:val="clear" w:color="auto" w:fill="auto"/>
            <w:vAlign w:val="center"/>
          </w:tcPr>
          <w:p w14:paraId="062B6CD9">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洪涝安全评估（含海绵城市建设专章）</w:t>
            </w:r>
          </w:p>
        </w:tc>
        <w:tc>
          <w:tcPr>
            <w:tcW w:w="548" w:type="pct"/>
            <w:tcBorders>
              <w:top w:val="nil"/>
              <w:left w:val="nil"/>
              <w:bottom w:val="single" w:color="auto" w:sz="4" w:space="0"/>
              <w:right w:val="single" w:color="auto" w:sz="4" w:space="0"/>
            </w:tcBorders>
            <w:shd w:val="clear" w:color="auto" w:fill="auto"/>
            <w:vAlign w:val="center"/>
          </w:tcPr>
          <w:p w14:paraId="46125357">
            <w:pPr>
              <w:widowControl/>
              <w:jc w:val="center"/>
              <w:rPr>
                <w:rFonts w:ascii="仿宋_GB2312" w:hAnsi="等线" w:eastAsia="仿宋_GB2312" w:cs="宋体"/>
                <w:color w:val="FF0000"/>
                <w:kern w:val="0"/>
                <w:sz w:val="24"/>
                <w:szCs w:val="24"/>
              </w:rPr>
            </w:pPr>
            <w:r>
              <w:rPr>
                <w:rFonts w:ascii="仿宋_GB2312" w:hAnsi="等线" w:eastAsia="仿宋_GB2312" w:cs="宋体"/>
                <w:kern w:val="0"/>
                <w:sz w:val="24"/>
                <w:szCs w:val="24"/>
              </w:rPr>
              <w:t>316</w:t>
            </w:r>
          </w:p>
        </w:tc>
        <w:tc>
          <w:tcPr>
            <w:tcW w:w="469" w:type="pct"/>
            <w:tcBorders>
              <w:top w:val="nil"/>
              <w:left w:val="nil"/>
              <w:bottom w:val="single" w:color="auto" w:sz="4" w:space="0"/>
              <w:right w:val="single" w:color="auto" w:sz="4" w:space="0"/>
            </w:tcBorders>
            <w:shd w:val="clear" w:color="auto" w:fill="auto"/>
            <w:vAlign w:val="center"/>
          </w:tcPr>
          <w:p w14:paraId="391FBB8D">
            <w:pPr>
              <w:widowControl/>
              <w:jc w:val="center"/>
              <w:rPr>
                <w:rFonts w:ascii="仿宋_GB2312" w:hAnsi="等线" w:eastAsia="仿宋_GB2312" w:cs="宋体"/>
                <w:kern w:val="0"/>
                <w:sz w:val="24"/>
                <w:szCs w:val="24"/>
              </w:rPr>
            </w:pPr>
            <w:r>
              <w:rPr>
                <w:rFonts w:ascii="仿宋_GB2312" w:hAnsi="等线" w:eastAsia="仿宋_GB2312" w:cs="宋体"/>
                <w:kern w:val="0"/>
                <w:sz w:val="24"/>
                <w:szCs w:val="24"/>
              </w:rPr>
              <w:t>7</w:t>
            </w:r>
            <w:r>
              <w:rPr>
                <w:rFonts w:hint="eastAsia" w:ascii="仿宋_GB2312" w:hAnsi="等线" w:eastAsia="仿宋_GB2312" w:cs="宋体"/>
                <w:kern w:val="0"/>
                <w:sz w:val="24"/>
                <w:szCs w:val="24"/>
              </w:rPr>
              <w:t>0</w:t>
            </w:r>
          </w:p>
        </w:tc>
        <w:tc>
          <w:tcPr>
            <w:tcW w:w="3047" w:type="pct"/>
            <w:tcBorders>
              <w:top w:val="nil"/>
              <w:left w:val="nil"/>
              <w:bottom w:val="single" w:color="auto" w:sz="4" w:space="0"/>
              <w:right w:val="single" w:color="auto" w:sz="4" w:space="0"/>
            </w:tcBorders>
            <w:shd w:val="clear" w:color="auto" w:fill="auto"/>
            <w:vAlign w:val="center"/>
          </w:tcPr>
          <w:p w14:paraId="1E964FC9">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按《城市规划设计计费指导意见》（2017）第11.4海绵城市建设专项规划的计费基价40万计费和13. 2城市综合防灾专项规划3万元/万人计费。</w:t>
            </w:r>
          </w:p>
        </w:tc>
      </w:tr>
      <w:tr w14:paraId="0C9564CA">
        <w:tblPrEx>
          <w:tblCellMar>
            <w:top w:w="0" w:type="dxa"/>
            <w:left w:w="0" w:type="dxa"/>
            <w:bottom w:w="0" w:type="dxa"/>
            <w:right w:w="0" w:type="dxa"/>
          </w:tblCellMar>
        </w:tblPrEx>
        <w:trPr>
          <w:trHeight w:val="1623" w:hRule="atLeast"/>
        </w:trPr>
        <w:tc>
          <w:tcPr>
            <w:tcW w:w="232" w:type="pct"/>
            <w:tcBorders>
              <w:top w:val="nil"/>
              <w:left w:val="single" w:color="auto" w:sz="4" w:space="0"/>
              <w:bottom w:val="single" w:color="auto" w:sz="4" w:space="0"/>
              <w:right w:val="single" w:color="auto" w:sz="4" w:space="0"/>
            </w:tcBorders>
            <w:shd w:val="clear" w:color="auto" w:fill="auto"/>
            <w:vAlign w:val="center"/>
          </w:tcPr>
          <w:p w14:paraId="3AFBF861">
            <w:pPr>
              <w:widowControl/>
              <w:jc w:val="center"/>
              <w:rPr>
                <w:rFonts w:ascii="仿宋_GB2312" w:hAnsi="等线" w:eastAsia="仿宋_GB2312" w:cs="宋体"/>
                <w:color w:val="000000"/>
                <w:kern w:val="0"/>
                <w:sz w:val="24"/>
                <w:szCs w:val="24"/>
              </w:rPr>
            </w:pPr>
            <w:r>
              <w:rPr>
                <w:rFonts w:ascii="仿宋_GB2312" w:hAnsi="等线" w:eastAsia="仿宋_GB2312" w:cs="宋体"/>
                <w:color w:val="000000"/>
                <w:kern w:val="0"/>
                <w:sz w:val="24"/>
                <w:szCs w:val="24"/>
              </w:rPr>
              <w:t>4</w:t>
            </w:r>
            <w:r>
              <w:rPr>
                <w:rFonts w:hint="eastAsia" w:ascii="仿宋_GB2312" w:hAnsi="等线" w:eastAsia="仿宋_GB2312" w:cs="宋体"/>
                <w:color w:val="000000"/>
                <w:kern w:val="0"/>
                <w:sz w:val="24"/>
                <w:szCs w:val="24"/>
              </w:rPr>
              <w:t>.7</w:t>
            </w:r>
          </w:p>
        </w:tc>
        <w:tc>
          <w:tcPr>
            <w:tcW w:w="704" w:type="pct"/>
            <w:tcBorders>
              <w:top w:val="nil"/>
              <w:left w:val="nil"/>
              <w:bottom w:val="single" w:color="auto" w:sz="4" w:space="0"/>
              <w:right w:val="single" w:color="auto" w:sz="4" w:space="0"/>
            </w:tcBorders>
            <w:shd w:val="clear" w:color="auto" w:fill="auto"/>
            <w:vAlign w:val="center"/>
          </w:tcPr>
          <w:p w14:paraId="5BD2FBB0">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树木保护专章</w:t>
            </w:r>
          </w:p>
        </w:tc>
        <w:tc>
          <w:tcPr>
            <w:tcW w:w="548" w:type="pct"/>
            <w:tcBorders>
              <w:top w:val="nil"/>
              <w:left w:val="nil"/>
              <w:bottom w:val="single" w:color="auto" w:sz="4" w:space="0"/>
              <w:right w:val="single" w:color="auto" w:sz="4" w:space="0"/>
            </w:tcBorders>
            <w:shd w:val="clear" w:color="auto" w:fill="auto"/>
            <w:vAlign w:val="center"/>
          </w:tcPr>
          <w:p w14:paraId="4E961E8F">
            <w:pPr>
              <w:widowControl/>
              <w:jc w:val="center"/>
              <w:rPr>
                <w:rFonts w:ascii="仿宋_GB2312" w:hAnsi="等线" w:eastAsia="仿宋_GB2312" w:cs="宋体"/>
                <w:color w:val="000000"/>
                <w:kern w:val="0"/>
                <w:sz w:val="24"/>
                <w:szCs w:val="24"/>
              </w:rPr>
            </w:pPr>
            <w:r>
              <w:rPr>
                <w:rFonts w:ascii="仿宋_GB2312" w:hAnsi="等线" w:eastAsia="仿宋_GB2312" w:cs="宋体"/>
                <w:color w:val="000000"/>
                <w:kern w:val="0"/>
                <w:sz w:val="24"/>
                <w:szCs w:val="24"/>
              </w:rPr>
              <w:t>316</w:t>
            </w:r>
          </w:p>
        </w:tc>
        <w:tc>
          <w:tcPr>
            <w:tcW w:w="469" w:type="pct"/>
            <w:tcBorders>
              <w:top w:val="nil"/>
              <w:left w:val="nil"/>
              <w:bottom w:val="single" w:color="auto" w:sz="4" w:space="0"/>
              <w:right w:val="single" w:color="auto" w:sz="4" w:space="0"/>
            </w:tcBorders>
            <w:shd w:val="clear" w:color="auto" w:fill="auto"/>
            <w:vAlign w:val="center"/>
          </w:tcPr>
          <w:p w14:paraId="0A044F60">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40</w:t>
            </w:r>
          </w:p>
        </w:tc>
        <w:tc>
          <w:tcPr>
            <w:tcW w:w="3047" w:type="pct"/>
            <w:tcBorders>
              <w:top w:val="nil"/>
              <w:left w:val="nil"/>
              <w:bottom w:val="single" w:color="auto" w:sz="4" w:space="0"/>
              <w:right w:val="single" w:color="auto" w:sz="4" w:space="0"/>
            </w:tcBorders>
            <w:shd w:val="clear" w:color="auto" w:fill="auto"/>
            <w:vAlign w:val="center"/>
          </w:tcPr>
          <w:p w14:paraId="4346364F">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根据《城市规划设计计费指导意见（2017）》第一条第1.1点，特大城市总体规划“专题研究”收费50万元。考虑该片区工作基础较好，在现有计费标准按</w:t>
            </w:r>
            <w:r>
              <w:rPr>
                <w:rFonts w:ascii="仿宋_GB2312" w:hAnsi="等线" w:eastAsia="仿宋_GB2312" w:cs="宋体"/>
                <w:kern w:val="0"/>
                <w:sz w:val="24"/>
                <w:szCs w:val="24"/>
              </w:rPr>
              <w:t>8</w:t>
            </w:r>
            <w:r>
              <w:rPr>
                <w:rFonts w:hint="eastAsia" w:ascii="仿宋_GB2312" w:hAnsi="等线" w:eastAsia="仿宋_GB2312" w:cs="宋体"/>
                <w:kern w:val="0"/>
                <w:sz w:val="24"/>
                <w:szCs w:val="24"/>
              </w:rPr>
              <w:t>折计取。</w:t>
            </w:r>
          </w:p>
        </w:tc>
      </w:tr>
      <w:tr w14:paraId="70A3C9D9">
        <w:tblPrEx>
          <w:tblCellMar>
            <w:top w:w="0" w:type="dxa"/>
            <w:left w:w="0" w:type="dxa"/>
            <w:bottom w:w="0" w:type="dxa"/>
            <w:right w:w="0" w:type="dxa"/>
          </w:tblCellMar>
        </w:tblPrEx>
        <w:trPr>
          <w:trHeight w:val="636" w:hRule="atLeast"/>
        </w:trPr>
        <w:tc>
          <w:tcPr>
            <w:tcW w:w="1484" w:type="pct"/>
            <w:gridSpan w:val="3"/>
            <w:tcBorders>
              <w:top w:val="single" w:color="auto" w:sz="4" w:space="0"/>
              <w:left w:val="single" w:color="auto" w:sz="4" w:space="0"/>
              <w:bottom w:val="single" w:color="auto" w:sz="4" w:space="0"/>
              <w:right w:val="nil"/>
            </w:tcBorders>
            <w:shd w:val="clear" w:color="auto" w:fill="D8D8D8" w:themeFill="background1" w:themeFillShade="D9"/>
            <w:vAlign w:val="center"/>
          </w:tcPr>
          <w:p w14:paraId="7FD2225E">
            <w:pPr>
              <w:widowControl/>
              <w:jc w:val="center"/>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合计</w:t>
            </w:r>
          </w:p>
        </w:tc>
        <w:tc>
          <w:tcPr>
            <w:tcW w:w="469"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3F0C309">
            <w:pPr>
              <w:widowControl/>
              <w:jc w:val="center"/>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 xml:space="preserve">1400 </w:t>
            </w:r>
          </w:p>
        </w:tc>
        <w:tc>
          <w:tcPr>
            <w:tcW w:w="3047"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7E23BCC5">
            <w:pPr>
              <w:widowControl/>
              <w:jc w:val="left"/>
              <w:rPr>
                <w:rFonts w:ascii="仿宋_GB2312" w:hAnsi="等线" w:eastAsia="仿宋_GB2312" w:cs="宋体"/>
                <w:kern w:val="0"/>
                <w:sz w:val="24"/>
                <w:szCs w:val="24"/>
              </w:rPr>
            </w:pPr>
            <w:r>
              <w:rPr>
                <w:rFonts w:hint="eastAsia" w:ascii="仿宋_GB2312" w:hAnsi="等线" w:eastAsia="仿宋_GB2312" w:cs="宋体"/>
                <w:kern w:val="0"/>
                <w:sz w:val="24"/>
                <w:szCs w:val="24"/>
              </w:rPr>
              <w:t>——</w:t>
            </w:r>
          </w:p>
        </w:tc>
      </w:tr>
    </w:tbl>
    <w:p w14:paraId="7DDF96A7">
      <w:pPr>
        <w:pStyle w:val="2"/>
      </w:pPr>
    </w:p>
    <w:p w14:paraId="69CF3A10">
      <w:pPr>
        <w:pStyle w:val="5"/>
        <w:keepNext w:val="0"/>
        <w:keepLines w:val="0"/>
        <w:wordWrap w:val="0"/>
        <w:snapToGrid w:val="0"/>
        <w:spacing w:before="0" w:after="0" w:line="360" w:lineRule="auto"/>
        <w:rPr>
          <w:rFonts w:ascii="宋体" w:hAnsi="宋体" w:cs="宋体"/>
        </w:rPr>
      </w:pPr>
      <w:r>
        <w:rPr>
          <w:rFonts w:hint="eastAsia" w:ascii="宋体" w:hAnsi="宋体" w:cs="宋体"/>
        </w:rPr>
        <w:t>2</w:t>
      </w:r>
      <w:r>
        <w:rPr>
          <w:rFonts w:ascii="宋体" w:hAnsi="宋体" w:cs="宋体"/>
        </w:rPr>
        <w:t>、费用支付</w:t>
      </w:r>
    </w:p>
    <w:p w14:paraId="14794B1C">
      <w:pPr>
        <w:wordWrap w:val="0"/>
        <w:snapToGrid w:val="0"/>
        <w:spacing w:line="360" w:lineRule="auto"/>
        <w:ind w:firstLine="420" w:firstLineChars="200"/>
        <w:rPr>
          <w:rFonts w:ascii="宋体" w:hAnsi="宋体" w:cs="宋体"/>
        </w:rPr>
      </w:pPr>
      <w:r>
        <w:rPr>
          <w:rFonts w:hint="eastAsia" w:ascii="宋体" w:hAnsi="宋体" w:cs="宋体"/>
        </w:rPr>
        <w:t>（1）采购人和中标人签订合同，且在采购人收到中标人请款资料及发票后的10个工作日内，采购人向中标人支付项目咨询费总额的</w:t>
      </w:r>
      <w:r>
        <w:rPr>
          <w:rFonts w:ascii="宋体" w:hAnsi="宋体" w:cs="宋体"/>
        </w:rPr>
        <w:t>20</w:t>
      </w:r>
      <w:r>
        <w:rPr>
          <w:rFonts w:hint="eastAsia" w:ascii="宋体" w:hAnsi="宋体" w:cs="宋体"/>
        </w:rPr>
        <w:t>%。</w:t>
      </w:r>
    </w:p>
    <w:p w14:paraId="1E93D7F2">
      <w:pPr>
        <w:wordWrap w:val="0"/>
        <w:snapToGrid w:val="0"/>
        <w:spacing w:line="360" w:lineRule="auto"/>
        <w:ind w:firstLine="420" w:firstLineChars="200"/>
        <w:rPr>
          <w:rFonts w:ascii="宋体" w:hAnsi="宋体" w:cs="宋体"/>
        </w:rPr>
      </w:pPr>
      <w:r>
        <w:rPr>
          <w:rFonts w:hint="eastAsia" w:ascii="宋体" w:hAnsi="宋体" w:cs="宋体"/>
        </w:rPr>
        <w:t>（2）中标人提交符合工作要求的成果，报区城市规划工作领导小组审议后，且在采购人收到中标人请款资料及发票后的10个工作日内，采购人向中标人支付项目咨询费总额的</w:t>
      </w:r>
      <w:r>
        <w:rPr>
          <w:rFonts w:ascii="宋体" w:hAnsi="宋体" w:cs="宋体"/>
        </w:rPr>
        <w:t>20</w:t>
      </w:r>
      <w:r>
        <w:rPr>
          <w:rFonts w:hint="eastAsia" w:ascii="宋体" w:hAnsi="宋体" w:cs="宋体"/>
        </w:rPr>
        <w:t>%。</w:t>
      </w:r>
    </w:p>
    <w:p w14:paraId="1173BC4E">
      <w:pPr>
        <w:wordWrap w:val="0"/>
        <w:snapToGrid w:val="0"/>
        <w:spacing w:line="360" w:lineRule="auto"/>
        <w:ind w:firstLine="420" w:firstLineChars="200"/>
        <w:rPr>
          <w:rFonts w:ascii="宋体" w:hAnsi="宋体" w:cs="宋体"/>
        </w:rPr>
      </w:pPr>
      <w:r>
        <w:rPr>
          <w:rFonts w:hint="eastAsia" w:ascii="宋体" w:hAnsi="宋体" w:cs="宋体"/>
        </w:rPr>
        <w:t>（3）中标人提交符合工作要求的成果，通过广州市规划和自然资源局业务会议审查后，且在采购人收到中标人请款资料及发票后的10个工作日内，采购人向中标人支付项目咨询费总额的</w:t>
      </w:r>
      <w:r>
        <w:rPr>
          <w:rFonts w:ascii="宋体" w:hAnsi="宋体" w:cs="宋体"/>
        </w:rPr>
        <w:t>2</w:t>
      </w:r>
      <w:r>
        <w:rPr>
          <w:rFonts w:hint="eastAsia" w:ascii="宋体" w:hAnsi="宋体" w:cs="宋体"/>
        </w:rPr>
        <w:t>0%。</w:t>
      </w:r>
    </w:p>
    <w:p w14:paraId="1873475E">
      <w:pPr>
        <w:wordWrap w:val="0"/>
        <w:snapToGrid w:val="0"/>
        <w:spacing w:line="360" w:lineRule="auto"/>
        <w:ind w:firstLine="420" w:firstLineChars="200"/>
        <w:rPr>
          <w:rFonts w:ascii="宋体" w:hAnsi="宋体" w:cs="宋体"/>
        </w:rPr>
      </w:pPr>
      <w:r>
        <w:rPr>
          <w:rFonts w:hint="eastAsia" w:ascii="宋体" w:hAnsi="宋体" w:cs="宋体"/>
        </w:rPr>
        <w:t>（4）中标人提交成果经广州市规委会或下设委员会审议通过后，且在采购人收到中标人请款资料及发票后的10个工作日内，采购人向中标人支付项目咨询费总额的</w:t>
      </w:r>
      <w:r>
        <w:rPr>
          <w:rFonts w:ascii="宋体" w:hAnsi="宋体" w:cs="宋体"/>
        </w:rPr>
        <w:t>3</w:t>
      </w:r>
      <w:r>
        <w:rPr>
          <w:rFonts w:hint="eastAsia" w:ascii="宋体" w:hAnsi="宋体" w:cs="宋体"/>
        </w:rPr>
        <w:t>0%。</w:t>
      </w:r>
    </w:p>
    <w:p w14:paraId="1A9EA876">
      <w:pPr>
        <w:wordWrap w:val="0"/>
        <w:snapToGrid w:val="0"/>
        <w:spacing w:line="360" w:lineRule="auto"/>
        <w:ind w:firstLine="420" w:firstLineChars="200"/>
        <w:rPr>
          <w:rFonts w:ascii="宋体" w:hAnsi="宋体" w:cs="宋体"/>
        </w:rPr>
      </w:pPr>
      <w:r>
        <w:rPr>
          <w:rFonts w:hint="eastAsia" w:ascii="宋体" w:hAnsi="宋体" w:cs="宋体"/>
        </w:rPr>
        <w:t>（5）中标人提交成果经市政府批复后，且在采购人收到中标人请款资料及发票后的10个工作日内，采购人向中标人支付项目咨询费总额剩余款项（10%）。</w:t>
      </w:r>
    </w:p>
    <w:p w14:paraId="2CC57B89">
      <w:pPr>
        <w:pStyle w:val="4"/>
        <w:keepNext w:val="0"/>
        <w:keepLines w:val="0"/>
        <w:snapToGrid w:val="0"/>
        <w:spacing w:line="360" w:lineRule="auto"/>
        <w:jc w:val="left"/>
        <w:rPr>
          <w:rFonts w:ascii="宋体" w:hAnsi="宋体" w:eastAsia="宋体" w:cs="宋体"/>
        </w:rPr>
      </w:pPr>
      <w:r>
        <w:rPr>
          <w:rFonts w:hint="eastAsia" w:ascii="宋体" w:hAnsi="宋体" w:eastAsia="宋体" w:cs="宋体"/>
        </w:rPr>
        <w:t>四、其他要求</w:t>
      </w:r>
    </w:p>
    <w:p w14:paraId="649F4CFD">
      <w:pPr>
        <w:pStyle w:val="5"/>
        <w:keepNext w:val="0"/>
        <w:keepLines w:val="0"/>
        <w:wordWrap w:val="0"/>
        <w:snapToGrid w:val="0"/>
        <w:spacing w:before="0" w:after="0" w:line="360" w:lineRule="auto"/>
      </w:pPr>
      <w:r>
        <w:rPr>
          <w:rFonts w:ascii="宋体" w:hAnsi="宋体" w:cs="宋体"/>
        </w:rPr>
        <w:t>1、投标人基本要求</w:t>
      </w:r>
    </w:p>
    <w:p w14:paraId="064F66BB">
      <w:pPr>
        <w:wordWrap w:val="0"/>
        <w:snapToGrid w:val="0"/>
        <w:spacing w:line="360" w:lineRule="auto"/>
        <w:ind w:firstLine="420" w:firstLineChars="200"/>
        <w:rPr>
          <w:rFonts w:ascii="宋体" w:hAnsi="宋体" w:cs="宋体"/>
        </w:rPr>
      </w:pPr>
      <w:r>
        <w:rPr>
          <w:rFonts w:hint="eastAsia" w:ascii="宋体" w:hAnsi="宋体" w:cs="宋体"/>
        </w:rPr>
        <w:t>（1）</w:t>
      </w:r>
      <w:r>
        <w:rPr>
          <w:rFonts w:ascii="宋体" w:hAnsi="宋体" w:cs="宋体"/>
        </w:rPr>
        <w:t>应按项目需要配备高级职称的专业技术人员，配合采购人制作与项目相关的会议汇报文件、会议材料等，并提供相应后续技术服务。服务团队需要配置包含规划、交通、市政等专业人员，开展技术服务。</w:t>
      </w:r>
    </w:p>
    <w:p w14:paraId="2D0776F0">
      <w:pPr>
        <w:wordWrap w:val="0"/>
        <w:snapToGrid w:val="0"/>
        <w:spacing w:line="360" w:lineRule="auto"/>
        <w:ind w:firstLine="420" w:firstLineChars="200"/>
        <w:rPr>
          <w:rFonts w:ascii="宋体" w:hAnsi="宋体" w:cs="宋体"/>
        </w:rPr>
      </w:pPr>
      <w:r>
        <w:rPr>
          <w:rFonts w:hint="eastAsia" w:ascii="宋体" w:hAnsi="宋体" w:cs="宋体"/>
        </w:rPr>
        <w:t>（2）</w:t>
      </w:r>
      <w:r>
        <w:rPr>
          <w:rFonts w:ascii="宋体" w:hAnsi="宋体" w:cs="宋体"/>
        </w:rPr>
        <w:t>项目必须设置专门的技术负责人。项目负责人应熟悉广州市相关规划情况及城市更新、</w:t>
      </w:r>
      <w:r>
        <w:rPr>
          <w:rFonts w:hint="eastAsia" w:ascii="宋体" w:hAnsi="宋体" w:cs="宋体"/>
        </w:rPr>
        <w:t>控规编制</w:t>
      </w:r>
      <w:r>
        <w:rPr>
          <w:rFonts w:ascii="宋体" w:hAnsi="宋体" w:cs="宋体"/>
        </w:rPr>
        <w:t>情况，并有类似项目经验，需具备相应职称和专业能力并获得类似项目的奖项等。</w:t>
      </w:r>
    </w:p>
    <w:p w14:paraId="50F56081">
      <w:pPr>
        <w:wordWrap w:val="0"/>
        <w:snapToGrid w:val="0"/>
        <w:spacing w:line="360" w:lineRule="auto"/>
        <w:ind w:firstLine="420" w:firstLineChars="200"/>
        <w:rPr>
          <w:rFonts w:ascii="宋体" w:hAnsi="宋体" w:cs="宋体"/>
        </w:rPr>
      </w:pPr>
      <w:r>
        <w:rPr>
          <w:rFonts w:hint="eastAsia" w:ascii="宋体" w:hAnsi="宋体" w:cs="宋体"/>
        </w:rPr>
        <w:t>（3）</w:t>
      </w:r>
      <w:r>
        <w:rPr>
          <w:rFonts w:ascii="宋体" w:hAnsi="宋体" w:cs="宋体"/>
        </w:rPr>
        <w:t>投标人能够准确把握项目的重点、难点，对提供的质量、技术和后期保障做出相应的安排。</w:t>
      </w:r>
    </w:p>
    <w:p w14:paraId="0B4C1427">
      <w:pPr>
        <w:wordWrap w:val="0"/>
        <w:snapToGrid w:val="0"/>
        <w:spacing w:line="360" w:lineRule="auto"/>
        <w:ind w:firstLine="420" w:firstLineChars="200"/>
        <w:rPr>
          <w:rFonts w:ascii="宋体" w:hAnsi="宋体" w:cs="宋体"/>
        </w:rPr>
      </w:pPr>
      <w:r>
        <w:rPr>
          <w:rFonts w:hint="eastAsia" w:ascii="宋体" w:hAnsi="宋体" w:cs="宋体"/>
        </w:rPr>
        <w:t>（4）</w:t>
      </w:r>
      <w:r>
        <w:rPr>
          <w:rFonts w:ascii="宋体" w:hAnsi="宋体" w:cs="宋体"/>
        </w:rPr>
        <w:t>投标人需具备管理体系认证。</w:t>
      </w:r>
    </w:p>
    <w:p w14:paraId="0378CA35">
      <w:pPr>
        <w:wordWrap w:val="0"/>
        <w:snapToGrid w:val="0"/>
        <w:spacing w:line="360" w:lineRule="auto"/>
        <w:ind w:firstLine="420" w:firstLineChars="200"/>
        <w:rPr>
          <w:rFonts w:ascii="宋体" w:hAnsi="宋体" w:cs="宋体"/>
        </w:rPr>
      </w:pPr>
      <w:r>
        <w:rPr>
          <w:rFonts w:hint="eastAsia" w:ascii="宋体" w:hAnsi="宋体" w:cs="宋体"/>
        </w:rPr>
        <w:t>（5）</w:t>
      </w:r>
      <w:r>
        <w:rPr>
          <w:rFonts w:ascii="宋体" w:hAnsi="宋体" w:cs="宋体"/>
        </w:rPr>
        <w:t>采购人委派工作任务时，中标人需在1个工作日内做出响应。</w:t>
      </w:r>
    </w:p>
    <w:p w14:paraId="28790A1C">
      <w:pPr>
        <w:pStyle w:val="5"/>
        <w:keepNext w:val="0"/>
        <w:keepLines w:val="0"/>
        <w:wordWrap w:val="0"/>
        <w:snapToGrid w:val="0"/>
        <w:spacing w:before="0" w:after="0" w:line="360" w:lineRule="auto"/>
        <w:rPr>
          <w:rFonts w:ascii="宋体" w:hAnsi="宋体" w:cs="宋体"/>
        </w:rPr>
      </w:pPr>
      <w:r>
        <w:rPr>
          <w:rFonts w:hint="eastAsia" w:ascii="宋体" w:hAnsi="宋体" w:cs="宋体"/>
        </w:rPr>
        <w:t>2</w:t>
      </w:r>
      <w:r>
        <w:rPr>
          <w:rFonts w:ascii="宋体" w:hAnsi="宋体" w:cs="宋体"/>
        </w:rPr>
        <w:t>、项目管理要求</w:t>
      </w:r>
    </w:p>
    <w:p w14:paraId="58068B93">
      <w:pPr>
        <w:wordWrap w:val="0"/>
        <w:snapToGrid w:val="0"/>
        <w:spacing w:line="360" w:lineRule="auto"/>
        <w:ind w:firstLine="420" w:firstLineChars="200"/>
        <w:rPr>
          <w:rFonts w:ascii="宋体" w:hAnsi="宋体" w:cs="宋体"/>
        </w:rPr>
      </w:pPr>
      <w:r>
        <w:rPr>
          <w:rFonts w:ascii="宋体" w:hAnsi="宋体" w:cs="宋体"/>
        </w:rPr>
        <w:t>中标人必须在采购人要求的时间进度内完成本招标项目所有工作内容及相关服务，并依据要求编制项目执行计划；中标人必须根据本项目招标要求提供完整的服务，并有针对性地进行详细描述；中标人必须全力配合相关项目的要求，保障工作顺利推进。</w:t>
      </w:r>
    </w:p>
    <w:p w14:paraId="62134E10">
      <w:pPr>
        <w:pStyle w:val="5"/>
        <w:keepNext w:val="0"/>
        <w:keepLines w:val="0"/>
        <w:wordWrap w:val="0"/>
        <w:snapToGrid w:val="0"/>
        <w:spacing w:before="0" w:after="0" w:line="360" w:lineRule="auto"/>
        <w:rPr>
          <w:rFonts w:ascii="宋体" w:hAnsi="宋体" w:cs="宋体"/>
        </w:rPr>
      </w:pPr>
      <w:r>
        <w:rPr>
          <w:rFonts w:hint="eastAsia" w:ascii="宋体" w:hAnsi="宋体" w:cs="宋体"/>
        </w:rPr>
        <w:t>3</w:t>
      </w:r>
      <w:r>
        <w:rPr>
          <w:rFonts w:ascii="宋体" w:hAnsi="宋体" w:cs="宋体"/>
        </w:rPr>
        <w:t>、质量要求</w:t>
      </w:r>
    </w:p>
    <w:p w14:paraId="1C851664">
      <w:pPr>
        <w:wordWrap w:val="0"/>
        <w:snapToGrid w:val="0"/>
        <w:spacing w:line="360" w:lineRule="auto"/>
        <w:ind w:firstLine="420" w:firstLineChars="200"/>
        <w:rPr>
          <w:rFonts w:ascii="宋体" w:hAnsi="宋体" w:cs="宋体"/>
        </w:rPr>
      </w:pPr>
      <w:r>
        <w:rPr>
          <w:rFonts w:ascii="宋体" w:hAnsi="宋体" w:cs="宋体"/>
        </w:rPr>
        <w:t>中标人提交的成果资料应符合有关法律、法规、标准、规范的要求，并保证工作成果满足行政审批部门的要求，中标人提供的成果质量不合格，将无偿负责规划调整或采取补救措施，以达到质量要求；对于成果的质量问题和采购人临时提出的其它合理技术要求，中标人应按时进行修改或生产；成果交付后，在其正常使用时，出现任何由中标人造成的重大质量问题，中标人应承担由此引发的相关责任后果，妥善处理好各项善后事宜。</w:t>
      </w:r>
    </w:p>
    <w:p w14:paraId="44DEFCB5">
      <w:pPr>
        <w:pStyle w:val="5"/>
        <w:keepNext w:val="0"/>
        <w:keepLines w:val="0"/>
        <w:wordWrap w:val="0"/>
        <w:snapToGrid w:val="0"/>
        <w:spacing w:before="0" w:after="0" w:line="360" w:lineRule="auto"/>
        <w:rPr>
          <w:rFonts w:ascii="宋体" w:hAnsi="宋体" w:cs="宋体"/>
        </w:rPr>
      </w:pPr>
      <w:r>
        <w:rPr>
          <w:rFonts w:hint="eastAsia" w:ascii="宋体" w:hAnsi="宋体" w:cs="宋体"/>
        </w:rPr>
        <w:t>4</w:t>
      </w:r>
      <w:r>
        <w:rPr>
          <w:rFonts w:ascii="宋体" w:hAnsi="宋体" w:cs="宋体"/>
        </w:rPr>
        <w:t>、服务要求</w:t>
      </w:r>
    </w:p>
    <w:p w14:paraId="431DA257">
      <w:pPr>
        <w:wordWrap w:val="0"/>
        <w:snapToGrid w:val="0"/>
        <w:spacing w:line="360" w:lineRule="auto"/>
        <w:ind w:firstLine="420" w:firstLineChars="200"/>
        <w:rPr>
          <w:rFonts w:ascii="宋体" w:hAnsi="宋体" w:cs="宋体"/>
        </w:rPr>
      </w:pPr>
      <w:r>
        <w:rPr>
          <w:rFonts w:ascii="宋体" w:hAnsi="宋体" w:cs="宋体"/>
        </w:rPr>
        <w:t>必须根据本项目招标要求提供完整的服务，并有针对性地进行详细描述。</w:t>
      </w:r>
    </w:p>
    <w:p w14:paraId="15464B76">
      <w:pPr>
        <w:pStyle w:val="5"/>
        <w:keepNext w:val="0"/>
        <w:keepLines w:val="0"/>
        <w:wordWrap w:val="0"/>
        <w:snapToGrid w:val="0"/>
        <w:spacing w:before="0" w:after="0" w:line="360" w:lineRule="auto"/>
        <w:rPr>
          <w:rFonts w:ascii="宋体" w:hAnsi="宋体" w:cs="宋体"/>
        </w:rPr>
      </w:pPr>
      <w:r>
        <w:rPr>
          <w:rFonts w:hint="eastAsia" w:ascii="宋体" w:hAnsi="宋体" w:cs="宋体"/>
        </w:rPr>
        <w:t>5</w:t>
      </w:r>
      <w:r>
        <w:rPr>
          <w:rFonts w:ascii="宋体" w:hAnsi="宋体" w:cs="宋体"/>
        </w:rPr>
        <w:t>、保密要求</w:t>
      </w:r>
    </w:p>
    <w:p w14:paraId="06F797D1">
      <w:pPr>
        <w:wordWrap w:val="0"/>
        <w:snapToGrid w:val="0"/>
        <w:spacing w:line="360" w:lineRule="auto"/>
        <w:ind w:firstLine="420" w:firstLineChars="200"/>
        <w:rPr>
          <w:rFonts w:ascii="宋体" w:hAnsi="宋体" w:cs="宋体"/>
        </w:rPr>
      </w:pPr>
      <w:r>
        <w:rPr>
          <w:rFonts w:ascii="宋体" w:hAnsi="宋体" w:cs="宋体"/>
        </w:rPr>
        <w:t>必须对本项目的背景材料、相关技术资料和成果等一切有关信息承担保密责任。本项目涉及的保密条款并不因本项目合同的终止就失效，该条款对各方依旧有法律约束力。</w:t>
      </w:r>
      <w:bookmarkEnd w:id="6"/>
      <w:bookmarkEnd w:id="7"/>
    </w:p>
    <w:p w14:paraId="705AAAAE">
      <w:pPr>
        <w:wordWrap w:val="0"/>
        <w:snapToGrid w:val="0"/>
        <w:spacing w:line="360" w:lineRule="auto"/>
        <w:ind w:firstLine="420" w:firstLineChars="200"/>
        <w:rPr>
          <w:rFonts w:ascii="宋体" w:hAnsi="宋体" w:cs="宋体"/>
        </w:rPr>
      </w:pPr>
    </w:p>
    <w:sectPr>
      <w:footerReference r:id="rId3" w:type="default"/>
      <w:footerReference r:id="rId4" w:type="even"/>
      <w:pgSz w:w="11906" w:h="16838"/>
      <w:pgMar w:top="1440" w:right="1418" w:bottom="1440"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Times New Roman Bold">
    <w:altName w:val="Times New Roman"/>
    <w:panose1 w:val="0202080307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8A861">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4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6EA80C16">
                          <w:pPr>
                            <w:pStyle w:val="2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244"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i91E0AAAAAIBAAAPAAAAAAAAAAEAIAAAACIA&#10;AABkcnMvZG93bnJldi54bWxQSwECFAAUAAAACACHTuJABe3VHBECAAATBAAADgAAAAAAAAABACAA&#10;AAAfAQAAZHJzL2Uyb0RvYy54bWxQSwUGAAAAAAYABgBZAQAAogUAAAAA&#10;">
              <v:fill on="f" focussize="0,0"/>
              <v:stroke on="f"/>
              <v:imagedata o:title=""/>
              <o:lock v:ext="edit" aspectratio="f"/>
              <v:textbox inset="0mm,0mm,0mm,0mm" style="mso-fit-shape-to-text:t;">
                <w:txbxContent>
                  <w:p w14:paraId="6EA80C16">
                    <w:pPr>
                      <w:pStyle w:val="2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A698C">
    <w:pPr>
      <w:pStyle w:val="22"/>
      <w:framePr w:wrap="around" w:vAnchor="text" w:hAnchor="margin" w:xAlign="right" w:y="1"/>
      <w:rPr>
        <w:rStyle w:val="40"/>
      </w:rPr>
    </w:pPr>
    <w:r>
      <w:fldChar w:fldCharType="begin"/>
    </w:r>
    <w:r>
      <w:rPr>
        <w:rStyle w:val="40"/>
      </w:rPr>
      <w:instrText xml:space="preserve">PAGE  </w:instrText>
    </w:r>
    <w:r>
      <w:fldChar w:fldCharType="end"/>
    </w:r>
  </w:p>
  <w:p w14:paraId="1F1CE155">
    <w:pPr>
      <w:pStyle w:val="2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wOTAyY2ViNTlhNWRkOWU4MTllOTkzNzBmODlkNzEifQ=="/>
  </w:docVars>
  <w:rsids>
    <w:rsidRoot w:val="005F7120"/>
    <w:rsid w:val="000014B5"/>
    <w:rsid w:val="00001858"/>
    <w:rsid w:val="00001C8B"/>
    <w:rsid w:val="00003C9D"/>
    <w:rsid w:val="00003F89"/>
    <w:rsid w:val="00003FE7"/>
    <w:rsid w:val="00004F1A"/>
    <w:rsid w:val="00006B54"/>
    <w:rsid w:val="000132D5"/>
    <w:rsid w:val="0001418B"/>
    <w:rsid w:val="00015D5A"/>
    <w:rsid w:val="00015F0C"/>
    <w:rsid w:val="0001619C"/>
    <w:rsid w:val="00016B97"/>
    <w:rsid w:val="00020111"/>
    <w:rsid w:val="00020661"/>
    <w:rsid w:val="0002082D"/>
    <w:rsid w:val="0002195B"/>
    <w:rsid w:val="00021FCB"/>
    <w:rsid w:val="000227A7"/>
    <w:rsid w:val="00024282"/>
    <w:rsid w:val="00024BDE"/>
    <w:rsid w:val="00027D5B"/>
    <w:rsid w:val="000305F7"/>
    <w:rsid w:val="00032ADB"/>
    <w:rsid w:val="000337C4"/>
    <w:rsid w:val="00034B84"/>
    <w:rsid w:val="00036796"/>
    <w:rsid w:val="00036F4B"/>
    <w:rsid w:val="00037585"/>
    <w:rsid w:val="0004297D"/>
    <w:rsid w:val="00042EDF"/>
    <w:rsid w:val="000438B9"/>
    <w:rsid w:val="00043BE1"/>
    <w:rsid w:val="0004447E"/>
    <w:rsid w:val="00045D9C"/>
    <w:rsid w:val="00052083"/>
    <w:rsid w:val="000539EF"/>
    <w:rsid w:val="000571E6"/>
    <w:rsid w:val="00061431"/>
    <w:rsid w:val="00061A74"/>
    <w:rsid w:val="00061E5B"/>
    <w:rsid w:val="00064CF0"/>
    <w:rsid w:val="00067F27"/>
    <w:rsid w:val="00070388"/>
    <w:rsid w:val="00070713"/>
    <w:rsid w:val="0007275E"/>
    <w:rsid w:val="00073161"/>
    <w:rsid w:val="000734C8"/>
    <w:rsid w:val="00076D9D"/>
    <w:rsid w:val="000810BD"/>
    <w:rsid w:val="00083B1E"/>
    <w:rsid w:val="00084018"/>
    <w:rsid w:val="000855C8"/>
    <w:rsid w:val="000863AB"/>
    <w:rsid w:val="00087736"/>
    <w:rsid w:val="00090D32"/>
    <w:rsid w:val="000916BB"/>
    <w:rsid w:val="00093123"/>
    <w:rsid w:val="00093583"/>
    <w:rsid w:val="00093A44"/>
    <w:rsid w:val="00094FCB"/>
    <w:rsid w:val="0009554B"/>
    <w:rsid w:val="00095E4F"/>
    <w:rsid w:val="000A00C5"/>
    <w:rsid w:val="000A17A7"/>
    <w:rsid w:val="000A2561"/>
    <w:rsid w:val="000A2C85"/>
    <w:rsid w:val="000A39D4"/>
    <w:rsid w:val="000A6F0B"/>
    <w:rsid w:val="000A76F0"/>
    <w:rsid w:val="000A7FE9"/>
    <w:rsid w:val="000B1CA3"/>
    <w:rsid w:val="000B1CEA"/>
    <w:rsid w:val="000B509C"/>
    <w:rsid w:val="000B5688"/>
    <w:rsid w:val="000B68F5"/>
    <w:rsid w:val="000C04A1"/>
    <w:rsid w:val="000C04CD"/>
    <w:rsid w:val="000C10EF"/>
    <w:rsid w:val="000C257D"/>
    <w:rsid w:val="000C377B"/>
    <w:rsid w:val="000C5707"/>
    <w:rsid w:val="000D0815"/>
    <w:rsid w:val="000D2088"/>
    <w:rsid w:val="000D35A2"/>
    <w:rsid w:val="000D3836"/>
    <w:rsid w:val="000D4466"/>
    <w:rsid w:val="000D4DDC"/>
    <w:rsid w:val="000D530C"/>
    <w:rsid w:val="000D551E"/>
    <w:rsid w:val="000E034F"/>
    <w:rsid w:val="000E11FA"/>
    <w:rsid w:val="000E15B7"/>
    <w:rsid w:val="000E3030"/>
    <w:rsid w:val="000E5A29"/>
    <w:rsid w:val="000E5C55"/>
    <w:rsid w:val="000E76BC"/>
    <w:rsid w:val="000F090C"/>
    <w:rsid w:val="000F2DA5"/>
    <w:rsid w:val="000F3A74"/>
    <w:rsid w:val="00100472"/>
    <w:rsid w:val="00100C16"/>
    <w:rsid w:val="00100FA7"/>
    <w:rsid w:val="00101D3D"/>
    <w:rsid w:val="00102B21"/>
    <w:rsid w:val="00103B5C"/>
    <w:rsid w:val="00103FD2"/>
    <w:rsid w:val="00104D89"/>
    <w:rsid w:val="0010578D"/>
    <w:rsid w:val="001078A2"/>
    <w:rsid w:val="001133C6"/>
    <w:rsid w:val="00113868"/>
    <w:rsid w:val="001175AF"/>
    <w:rsid w:val="00117BDB"/>
    <w:rsid w:val="00120384"/>
    <w:rsid w:val="001212D6"/>
    <w:rsid w:val="00123C41"/>
    <w:rsid w:val="00126827"/>
    <w:rsid w:val="001312CD"/>
    <w:rsid w:val="00131592"/>
    <w:rsid w:val="00132B1B"/>
    <w:rsid w:val="00132DF1"/>
    <w:rsid w:val="00132E51"/>
    <w:rsid w:val="00134EE1"/>
    <w:rsid w:val="00136855"/>
    <w:rsid w:val="00141ACD"/>
    <w:rsid w:val="001427BE"/>
    <w:rsid w:val="00143172"/>
    <w:rsid w:val="001511F1"/>
    <w:rsid w:val="00151200"/>
    <w:rsid w:val="00152439"/>
    <w:rsid w:val="00152553"/>
    <w:rsid w:val="00154755"/>
    <w:rsid w:val="001570A7"/>
    <w:rsid w:val="00157728"/>
    <w:rsid w:val="00162C0D"/>
    <w:rsid w:val="0016487D"/>
    <w:rsid w:val="00166AD0"/>
    <w:rsid w:val="00170A7B"/>
    <w:rsid w:val="001719C4"/>
    <w:rsid w:val="00171EFE"/>
    <w:rsid w:val="0017488E"/>
    <w:rsid w:val="00176572"/>
    <w:rsid w:val="00176809"/>
    <w:rsid w:val="0017719A"/>
    <w:rsid w:val="00177288"/>
    <w:rsid w:val="00177389"/>
    <w:rsid w:val="001808F3"/>
    <w:rsid w:val="00183E91"/>
    <w:rsid w:val="001907EF"/>
    <w:rsid w:val="00192D60"/>
    <w:rsid w:val="00193D97"/>
    <w:rsid w:val="00194736"/>
    <w:rsid w:val="00195C00"/>
    <w:rsid w:val="00197FCB"/>
    <w:rsid w:val="001A080D"/>
    <w:rsid w:val="001A153C"/>
    <w:rsid w:val="001A1963"/>
    <w:rsid w:val="001A4B31"/>
    <w:rsid w:val="001A6832"/>
    <w:rsid w:val="001B121C"/>
    <w:rsid w:val="001B12D6"/>
    <w:rsid w:val="001B2235"/>
    <w:rsid w:val="001B4ACC"/>
    <w:rsid w:val="001B5E43"/>
    <w:rsid w:val="001B678D"/>
    <w:rsid w:val="001B72FE"/>
    <w:rsid w:val="001B7B82"/>
    <w:rsid w:val="001C4C5E"/>
    <w:rsid w:val="001D02C1"/>
    <w:rsid w:val="001D205A"/>
    <w:rsid w:val="001D2C47"/>
    <w:rsid w:val="001D36D2"/>
    <w:rsid w:val="001D44C6"/>
    <w:rsid w:val="001D7E37"/>
    <w:rsid w:val="001E0E06"/>
    <w:rsid w:val="001E10A9"/>
    <w:rsid w:val="001E4CDB"/>
    <w:rsid w:val="001E646B"/>
    <w:rsid w:val="001E675E"/>
    <w:rsid w:val="001E6FB8"/>
    <w:rsid w:val="001E72B0"/>
    <w:rsid w:val="001E78B0"/>
    <w:rsid w:val="001E7A28"/>
    <w:rsid w:val="001F0820"/>
    <w:rsid w:val="001F13A7"/>
    <w:rsid w:val="001F4E7C"/>
    <w:rsid w:val="001F5928"/>
    <w:rsid w:val="001F64B9"/>
    <w:rsid w:val="001F6D0F"/>
    <w:rsid w:val="001F77F3"/>
    <w:rsid w:val="002000DB"/>
    <w:rsid w:val="0020080D"/>
    <w:rsid w:val="002018E0"/>
    <w:rsid w:val="00201DBD"/>
    <w:rsid w:val="002020EF"/>
    <w:rsid w:val="00203F12"/>
    <w:rsid w:val="002040C2"/>
    <w:rsid w:val="00204886"/>
    <w:rsid w:val="002049F5"/>
    <w:rsid w:val="00205540"/>
    <w:rsid w:val="00205FC6"/>
    <w:rsid w:val="00210848"/>
    <w:rsid w:val="00212AE7"/>
    <w:rsid w:val="002136F9"/>
    <w:rsid w:val="00214097"/>
    <w:rsid w:val="00214807"/>
    <w:rsid w:val="0021530C"/>
    <w:rsid w:val="00215474"/>
    <w:rsid w:val="002157B5"/>
    <w:rsid w:val="00216925"/>
    <w:rsid w:val="00217641"/>
    <w:rsid w:val="00217A04"/>
    <w:rsid w:val="00217CBF"/>
    <w:rsid w:val="00221923"/>
    <w:rsid w:val="0022709A"/>
    <w:rsid w:val="002313D0"/>
    <w:rsid w:val="002324D9"/>
    <w:rsid w:val="00232868"/>
    <w:rsid w:val="00232D59"/>
    <w:rsid w:val="00235372"/>
    <w:rsid w:val="002356C9"/>
    <w:rsid w:val="00235F06"/>
    <w:rsid w:val="002376C8"/>
    <w:rsid w:val="00237BAD"/>
    <w:rsid w:val="00242A0C"/>
    <w:rsid w:val="00243258"/>
    <w:rsid w:val="00243D10"/>
    <w:rsid w:val="00243D23"/>
    <w:rsid w:val="00243E65"/>
    <w:rsid w:val="00244115"/>
    <w:rsid w:val="00244ACD"/>
    <w:rsid w:val="00244F7C"/>
    <w:rsid w:val="00250CCF"/>
    <w:rsid w:val="00251155"/>
    <w:rsid w:val="00251F11"/>
    <w:rsid w:val="002527EA"/>
    <w:rsid w:val="00253B11"/>
    <w:rsid w:val="00254049"/>
    <w:rsid w:val="0025432E"/>
    <w:rsid w:val="00254408"/>
    <w:rsid w:val="002550D1"/>
    <w:rsid w:val="002573CC"/>
    <w:rsid w:val="002579C9"/>
    <w:rsid w:val="00260AC7"/>
    <w:rsid w:val="0026161A"/>
    <w:rsid w:val="00261A32"/>
    <w:rsid w:val="00263250"/>
    <w:rsid w:val="00265145"/>
    <w:rsid w:val="0026522C"/>
    <w:rsid w:val="002658E9"/>
    <w:rsid w:val="00265CF8"/>
    <w:rsid w:val="00266DC7"/>
    <w:rsid w:val="002677AA"/>
    <w:rsid w:val="00272442"/>
    <w:rsid w:val="002743D5"/>
    <w:rsid w:val="00275467"/>
    <w:rsid w:val="00280D81"/>
    <w:rsid w:val="002822AA"/>
    <w:rsid w:val="00283DD3"/>
    <w:rsid w:val="0028484A"/>
    <w:rsid w:val="00284E45"/>
    <w:rsid w:val="00287D5B"/>
    <w:rsid w:val="00287F7D"/>
    <w:rsid w:val="002907FE"/>
    <w:rsid w:val="002932D3"/>
    <w:rsid w:val="002936A3"/>
    <w:rsid w:val="0029385E"/>
    <w:rsid w:val="00293E6A"/>
    <w:rsid w:val="00294E0C"/>
    <w:rsid w:val="002965C8"/>
    <w:rsid w:val="00296BE0"/>
    <w:rsid w:val="00297CEF"/>
    <w:rsid w:val="002A1916"/>
    <w:rsid w:val="002A1EDC"/>
    <w:rsid w:val="002A2261"/>
    <w:rsid w:val="002A30D1"/>
    <w:rsid w:val="002A3B2A"/>
    <w:rsid w:val="002A5F19"/>
    <w:rsid w:val="002A60F3"/>
    <w:rsid w:val="002A637F"/>
    <w:rsid w:val="002B28A2"/>
    <w:rsid w:val="002B60DA"/>
    <w:rsid w:val="002B6AA7"/>
    <w:rsid w:val="002B6B9B"/>
    <w:rsid w:val="002B7637"/>
    <w:rsid w:val="002B7BFA"/>
    <w:rsid w:val="002C18FA"/>
    <w:rsid w:val="002C2DC4"/>
    <w:rsid w:val="002C555B"/>
    <w:rsid w:val="002C66BD"/>
    <w:rsid w:val="002C6EDF"/>
    <w:rsid w:val="002C6FFB"/>
    <w:rsid w:val="002C7A0C"/>
    <w:rsid w:val="002D00A6"/>
    <w:rsid w:val="002D05CD"/>
    <w:rsid w:val="002D1664"/>
    <w:rsid w:val="002D4E49"/>
    <w:rsid w:val="002D5AB3"/>
    <w:rsid w:val="002D704F"/>
    <w:rsid w:val="002E1E27"/>
    <w:rsid w:val="002E2159"/>
    <w:rsid w:val="002E288A"/>
    <w:rsid w:val="002E37F3"/>
    <w:rsid w:val="002E6523"/>
    <w:rsid w:val="002E666A"/>
    <w:rsid w:val="002E6984"/>
    <w:rsid w:val="002E6AE3"/>
    <w:rsid w:val="002E7FE0"/>
    <w:rsid w:val="002F0951"/>
    <w:rsid w:val="002F1B28"/>
    <w:rsid w:val="002F343B"/>
    <w:rsid w:val="002F4205"/>
    <w:rsid w:val="002F4C25"/>
    <w:rsid w:val="002F6968"/>
    <w:rsid w:val="00302301"/>
    <w:rsid w:val="00303956"/>
    <w:rsid w:val="003040E2"/>
    <w:rsid w:val="00305F94"/>
    <w:rsid w:val="00307E16"/>
    <w:rsid w:val="00314FB9"/>
    <w:rsid w:val="00316BBF"/>
    <w:rsid w:val="00325956"/>
    <w:rsid w:val="00325B2E"/>
    <w:rsid w:val="003304E2"/>
    <w:rsid w:val="003318D0"/>
    <w:rsid w:val="00337771"/>
    <w:rsid w:val="003400BF"/>
    <w:rsid w:val="003404E3"/>
    <w:rsid w:val="00340D3B"/>
    <w:rsid w:val="00341612"/>
    <w:rsid w:val="0034458B"/>
    <w:rsid w:val="00351B43"/>
    <w:rsid w:val="003526CC"/>
    <w:rsid w:val="00353767"/>
    <w:rsid w:val="0035477E"/>
    <w:rsid w:val="00354BD8"/>
    <w:rsid w:val="00360B3C"/>
    <w:rsid w:val="0036109E"/>
    <w:rsid w:val="00364E02"/>
    <w:rsid w:val="0036568F"/>
    <w:rsid w:val="00366106"/>
    <w:rsid w:val="0036635C"/>
    <w:rsid w:val="003675CA"/>
    <w:rsid w:val="00367645"/>
    <w:rsid w:val="003705E8"/>
    <w:rsid w:val="00371014"/>
    <w:rsid w:val="003717B5"/>
    <w:rsid w:val="003734E7"/>
    <w:rsid w:val="00373E8A"/>
    <w:rsid w:val="00374609"/>
    <w:rsid w:val="0037504F"/>
    <w:rsid w:val="00375185"/>
    <w:rsid w:val="00375896"/>
    <w:rsid w:val="00375CC9"/>
    <w:rsid w:val="00376554"/>
    <w:rsid w:val="003825C6"/>
    <w:rsid w:val="003834F9"/>
    <w:rsid w:val="00386C43"/>
    <w:rsid w:val="003902C3"/>
    <w:rsid w:val="00394D33"/>
    <w:rsid w:val="00395DED"/>
    <w:rsid w:val="0039711F"/>
    <w:rsid w:val="003A2FF4"/>
    <w:rsid w:val="003A3017"/>
    <w:rsid w:val="003A31B9"/>
    <w:rsid w:val="003A3A7F"/>
    <w:rsid w:val="003A667B"/>
    <w:rsid w:val="003A78A9"/>
    <w:rsid w:val="003B193C"/>
    <w:rsid w:val="003B265D"/>
    <w:rsid w:val="003B3D9F"/>
    <w:rsid w:val="003B3DCA"/>
    <w:rsid w:val="003B420F"/>
    <w:rsid w:val="003B4AB6"/>
    <w:rsid w:val="003B4B8C"/>
    <w:rsid w:val="003B7D0F"/>
    <w:rsid w:val="003C00B8"/>
    <w:rsid w:val="003C091C"/>
    <w:rsid w:val="003C205D"/>
    <w:rsid w:val="003C2C48"/>
    <w:rsid w:val="003C32B8"/>
    <w:rsid w:val="003C4C4C"/>
    <w:rsid w:val="003C60AD"/>
    <w:rsid w:val="003C636B"/>
    <w:rsid w:val="003C74F6"/>
    <w:rsid w:val="003D0155"/>
    <w:rsid w:val="003D0342"/>
    <w:rsid w:val="003D0B38"/>
    <w:rsid w:val="003D0E77"/>
    <w:rsid w:val="003D5349"/>
    <w:rsid w:val="003D7F59"/>
    <w:rsid w:val="003E07AE"/>
    <w:rsid w:val="003E09C3"/>
    <w:rsid w:val="003E157B"/>
    <w:rsid w:val="003E240C"/>
    <w:rsid w:val="003E261C"/>
    <w:rsid w:val="003E28C0"/>
    <w:rsid w:val="003E2ACF"/>
    <w:rsid w:val="003E2D2F"/>
    <w:rsid w:val="003E2E4B"/>
    <w:rsid w:val="003E673B"/>
    <w:rsid w:val="003E6E99"/>
    <w:rsid w:val="003E7301"/>
    <w:rsid w:val="003E7845"/>
    <w:rsid w:val="003E7D2D"/>
    <w:rsid w:val="003F26BE"/>
    <w:rsid w:val="003F3298"/>
    <w:rsid w:val="003F34F2"/>
    <w:rsid w:val="003F5D64"/>
    <w:rsid w:val="003F7432"/>
    <w:rsid w:val="003F790A"/>
    <w:rsid w:val="00400032"/>
    <w:rsid w:val="0040003E"/>
    <w:rsid w:val="00401189"/>
    <w:rsid w:val="00402E2A"/>
    <w:rsid w:val="004038F2"/>
    <w:rsid w:val="00403F9B"/>
    <w:rsid w:val="004041E2"/>
    <w:rsid w:val="00404548"/>
    <w:rsid w:val="00406F73"/>
    <w:rsid w:val="004100BC"/>
    <w:rsid w:val="00410C2D"/>
    <w:rsid w:val="0041160B"/>
    <w:rsid w:val="004132E8"/>
    <w:rsid w:val="004157B8"/>
    <w:rsid w:val="00416650"/>
    <w:rsid w:val="0041721D"/>
    <w:rsid w:val="0041787E"/>
    <w:rsid w:val="004179B1"/>
    <w:rsid w:val="0042038D"/>
    <w:rsid w:val="004228A5"/>
    <w:rsid w:val="00422E16"/>
    <w:rsid w:val="00425C1F"/>
    <w:rsid w:val="00426F6E"/>
    <w:rsid w:val="00427076"/>
    <w:rsid w:val="00431205"/>
    <w:rsid w:val="0043201E"/>
    <w:rsid w:val="00432944"/>
    <w:rsid w:val="00433EA6"/>
    <w:rsid w:val="00434C0B"/>
    <w:rsid w:val="00435364"/>
    <w:rsid w:val="0043649B"/>
    <w:rsid w:val="00436531"/>
    <w:rsid w:val="004379A0"/>
    <w:rsid w:val="00442845"/>
    <w:rsid w:val="00443A30"/>
    <w:rsid w:val="00443E12"/>
    <w:rsid w:val="00444AAE"/>
    <w:rsid w:val="004456E3"/>
    <w:rsid w:val="00445E52"/>
    <w:rsid w:val="00446580"/>
    <w:rsid w:val="004478D9"/>
    <w:rsid w:val="00450531"/>
    <w:rsid w:val="00452AA5"/>
    <w:rsid w:val="00452CF7"/>
    <w:rsid w:val="00453A12"/>
    <w:rsid w:val="00453A99"/>
    <w:rsid w:val="0045588D"/>
    <w:rsid w:val="00456AF5"/>
    <w:rsid w:val="00457C75"/>
    <w:rsid w:val="00460E9B"/>
    <w:rsid w:val="004623AC"/>
    <w:rsid w:val="00463529"/>
    <w:rsid w:val="004644EF"/>
    <w:rsid w:val="00464658"/>
    <w:rsid w:val="00466ADD"/>
    <w:rsid w:val="00467943"/>
    <w:rsid w:val="00471722"/>
    <w:rsid w:val="00472AB8"/>
    <w:rsid w:val="004748A2"/>
    <w:rsid w:val="00474B87"/>
    <w:rsid w:val="00475B95"/>
    <w:rsid w:val="004761C0"/>
    <w:rsid w:val="00476350"/>
    <w:rsid w:val="00476BEA"/>
    <w:rsid w:val="00476DAD"/>
    <w:rsid w:val="00476E8B"/>
    <w:rsid w:val="00476FBA"/>
    <w:rsid w:val="00481809"/>
    <w:rsid w:val="00482F27"/>
    <w:rsid w:val="00486FDD"/>
    <w:rsid w:val="004902A7"/>
    <w:rsid w:val="00490BCE"/>
    <w:rsid w:val="00493CE6"/>
    <w:rsid w:val="004962DA"/>
    <w:rsid w:val="004971BA"/>
    <w:rsid w:val="004975EE"/>
    <w:rsid w:val="0049770D"/>
    <w:rsid w:val="00497BB3"/>
    <w:rsid w:val="004A047D"/>
    <w:rsid w:val="004A12EA"/>
    <w:rsid w:val="004A4940"/>
    <w:rsid w:val="004A6349"/>
    <w:rsid w:val="004A66AA"/>
    <w:rsid w:val="004B10AD"/>
    <w:rsid w:val="004B2627"/>
    <w:rsid w:val="004B43C4"/>
    <w:rsid w:val="004B61E8"/>
    <w:rsid w:val="004B65B1"/>
    <w:rsid w:val="004C0ABB"/>
    <w:rsid w:val="004C0FD5"/>
    <w:rsid w:val="004C12AB"/>
    <w:rsid w:val="004C1410"/>
    <w:rsid w:val="004C16AB"/>
    <w:rsid w:val="004C2379"/>
    <w:rsid w:val="004C6005"/>
    <w:rsid w:val="004C7A86"/>
    <w:rsid w:val="004D00E9"/>
    <w:rsid w:val="004D3AA2"/>
    <w:rsid w:val="004D4B6E"/>
    <w:rsid w:val="004D4F53"/>
    <w:rsid w:val="004D7639"/>
    <w:rsid w:val="004D7736"/>
    <w:rsid w:val="004D7EB3"/>
    <w:rsid w:val="004E0D48"/>
    <w:rsid w:val="004E1138"/>
    <w:rsid w:val="004E188B"/>
    <w:rsid w:val="004E1A60"/>
    <w:rsid w:val="004E3B5E"/>
    <w:rsid w:val="004E3EE9"/>
    <w:rsid w:val="004E3F29"/>
    <w:rsid w:val="004E60EE"/>
    <w:rsid w:val="004E78AD"/>
    <w:rsid w:val="004F153C"/>
    <w:rsid w:val="004F3054"/>
    <w:rsid w:val="004F3D72"/>
    <w:rsid w:val="004F43D9"/>
    <w:rsid w:val="004F58DB"/>
    <w:rsid w:val="004F6808"/>
    <w:rsid w:val="005008BD"/>
    <w:rsid w:val="00500BFB"/>
    <w:rsid w:val="00502AB1"/>
    <w:rsid w:val="00502B3C"/>
    <w:rsid w:val="00505544"/>
    <w:rsid w:val="0050557B"/>
    <w:rsid w:val="005059B4"/>
    <w:rsid w:val="005059EC"/>
    <w:rsid w:val="00505DCD"/>
    <w:rsid w:val="00506914"/>
    <w:rsid w:val="00507154"/>
    <w:rsid w:val="0051122F"/>
    <w:rsid w:val="005121B3"/>
    <w:rsid w:val="00514DC7"/>
    <w:rsid w:val="0051552B"/>
    <w:rsid w:val="00516527"/>
    <w:rsid w:val="00516E0E"/>
    <w:rsid w:val="00517526"/>
    <w:rsid w:val="00525444"/>
    <w:rsid w:val="005267C3"/>
    <w:rsid w:val="00526CB0"/>
    <w:rsid w:val="00531168"/>
    <w:rsid w:val="00533122"/>
    <w:rsid w:val="005357C7"/>
    <w:rsid w:val="0053671D"/>
    <w:rsid w:val="00536B96"/>
    <w:rsid w:val="005374AC"/>
    <w:rsid w:val="00541171"/>
    <w:rsid w:val="00545C26"/>
    <w:rsid w:val="00546CA9"/>
    <w:rsid w:val="00550953"/>
    <w:rsid w:val="005525DD"/>
    <w:rsid w:val="005531E0"/>
    <w:rsid w:val="005553CC"/>
    <w:rsid w:val="0055574E"/>
    <w:rsid w:val="005559AE"/>
    <w:rsid w:val="00557667"/>
    <w:rsid w:val="00560103"/>
    <w:rsid w:val="0056034D"/>
    <w:rsid w:val="00561811"/>
    <w:rsid w:val="005619E8"/>
    <w:rsid w:val="00562105"/>
    <w:rsid w:val="005642DF"/>
    <w:rsid w:val="00564BB4"/>
    <w:rsid w:val="00565399"/>
    <w:rsid w:val="005663A1"/>
    <w:rsid w:val="005674B6"/>
    <w:rsid w:val="005707DA"/>
    <w:rsid w:val="00570AF9"/>
    <w:rsid w:val="00570F39"/>
    <w:rsid w:val="00571893"/>
    <w:rsid w:val="00572523"/>
    <w:rsid w:val="00572ED0"/>
    <w:rsid w:val="005745F4"/>
    <w:rsid w:val="005749F7"/>
    <w:rsid w:val="00576E2C"/>
    <w:rsid w:val="0058019B"/>
    <w:rsid w:val="00581461"/>
    <w:rsid w:val="0058213B"/>
    <w:rsid w:val="00582C4A"/>
    <w:rsid w:val="00583145"/>
    <w:rsid w:val="00584914"/>
    <w:rsid w:val="005855C0"/>
    <w:rsid w:val="00585B46"/>
    <w:rsid w:val="005938CE"/>
    <w:rsid w:val="00593D7A"/>
    <w:rsid w:val="00596119"/>
    <w:rsid w:val="00597B4D"/>
    <w:rsid w:val="005A1378"/>
    <w:rsid w:val="005A1A79"/>
    <w:rsid w:val="005A1C2A"/>
    <w:rsid w:val="005A45A3"/>
    <w:rsid w:val="005A4C46"/>
    <w:rsid w:val="005A4F13"/>
    <w:rsid w:val="005A62AE"/>
    <w:rsid w:val="005A7933"/>
    <w:rsid w:val="005A7DC1"/>
    <w:rsid w:val="005B149E"/>
    <w:rsid w:val="005B36CD"/>
    <w:rsid w:val="005B4975"/>
    <w:rsid w:val="005B52FC"/>
    <w:rsid w:val="005B6FD9"/>
    <w:rsid w:val="005C0511"/>
    <w:rsid w:val="005C34A2"/>
    <w:rsid w:val="005C632E"/>
    <w:rsid w:val="005C7DDA"/>
    <w:rsid w:val="005D0451"/>
    <w:rsid w:val="005D1572"/>
    <w:rsid w:val="005D55A1"/>
    <w:rsid w:val="005D5929"/>
    <w:rsid w:val="005D5B03"/>
    <w:rsid w:val="005E10BF"/>
    <w:rsid w:val="005E3EBD"/>
    <w:rsid w:val="005E4430"/>
    <w:rsid w:val="005E4F99"/>
    <w:rsid w:val="005E58ED"/>
    <w:rsid w:val="005E7130"/>
    <w:rsid w:val="005F0BCB"/>
    <w:rsid w:val="005F1BA9"/>
    <w:rsid w:val="005F4E6F"/>
    <w:rsid w:val="005F7120"/>
    <w:rsid w:val="00600CF3"/>
    <w:rsid w:val="006021BD"/>
    <w:rsid w:val="00603EFC"/>
    <w:rsid w:val="0060618E"/>
    <w:rsid w:val="006104C6"/>
    <w:rsid w:val="00610CB9"/>
    <w:rsid w:val="006116F7"/>
    <w:rsid w:val="00611EA8"/>
    <w:rsid w:val="0061213B"/>
    <w:rsid w:val="00613282"/>
    <w:rsid w:val="006135AC"/>
    <w:rsid w:val="006142AC"/>
    <w:rsid w:val="00615E1D"/>
    <w:rsid w:val="00616C4F"/>
    <w:rsid w:val="00616FB9"/>
    <w:rsid w:val="00617ABD"/>
    <w:rsid w:val="00617D3D"/>
    <w:rsid w:val="00621142"/>
    <w:rsid w:val="00621F7B"/>
    <w:rsid w:val="006233C9"/>
    <w:rsid w:val="00624599"/>
    <w:rsid w:val="00624E6C"/>
    <w:rsid w:val="0062521B"/>
    <w:rsid w:val="00626004"/>
    <w:rsid w:val="006269EF"/>
    <w:rsid w:val="00626C86"/>
    <w:rsid w:val="006306BB"/>
    <w:rsid w:val="0063149D"/>
    <w:rsid w:val="006339E8"/>
    <w:rsid w:val="0063515C"/>
    <w:rsid w:val="0063549A"/>
    <w:rsid w:val="00635F03"/>
    <w:rsid w:val="00636453"/>
    <w:rsid w:val="00637900"/>
    <w:rsid w:val="006405A6"/>
    <w:rsid w:val="0064399D"/>
    <w:rsid w:val="00644751"/>
    <w:rsid w:val="0064589B"/>
    <w:rsid w:val="00646EC5"/>
    <w:rsid w:val="0065086D"/>
    <w:rsid w:val="006510ED"/>
    <w:rsid w:val="006528F4"/>
    <w:rsid w:val="00653C23"/>
    <w:rsid w:val="00653F1A"/>
    <w:rsid w:val="0065421D"/>
    <w:rsid w:val="0065457B"/>
    <w:rsid w:val="006565B5"/>
    <w:rsid w:val="006565F1"/>
    <w:rsid w:val="00657463"/>
    <w:rsid w:val="006579AE"/>
    <w:rsid w:val="00661A5E"/>
    <w:rsid w:val="006662FC"/>
    <w:rsid w:val="00670DD8"/>
    <w:rsid w:val="0067162A"/>
    <w:rsid w:val="00671F16"/>
    <w:rsid w:val="00673E79"/>
    <w:rsid w:val="00673EFD"/>
    <w:rsid w:val="00674456"/>
    <w:rsid w:val="0067615F"/>
    <w:rsid w:val="00676D86"/>
    <w:rsid w:val="00677668"/>
    <w:rsid w:val="00681BF4"/>
    <w:rsid w:val="006834AB"/>
    <w:rsid w:val="00683815"/>
    <w:rsid w:val="006845A4"/>
    <w:rsid w:val="00684B65"/>
    <w:rsid w:val="0068514D"/>
    <w:rsid w:val="00686EBF"/>
    <w:rsid w:val="00686EE2"/>
    <w:rsid w:val="006900F9"/>
    <w:rsid w:val="00690175"/>
    <w:rsid w:val="00690EBC"/>
    <w:rsid w:val="00692DC3"/>
    <w:rsid w:val="00694B7D"/>
    <w:rsid w:val="006960B9"/>
    <w:rsid w:val="006965DA"/>
    <w:rsid w:val="006967DA"/>
    <w:rsid w:val="00697DD5"/>
    <w:rsid w:val="006A18AB"/>
    <w:rsid w:val="006A2D52"/>
    <w:rsid w:val="006A698F"/>
    <w:rsid w:val="006A6C7A"/>
    <w:rsid w:val="006A7B34"/>
    <w:rsid w:val="006B2067"/>
    <w:rsid w:val="006B389C"/>
    <w:rsid w:val="006B3C97"/>
    <w:rsid w:val="006B67D2"/>
    <w:rsid w:val="006C0EA4"/>
    <w:rsid w:val="006C15FC"/>
    <w:rsid w:val="006C4EF5"/>
    <w:rsid w:val="006C5007"/>
    <w:rsid w:val="006C6155"/>
    <w:rsid w:val="006C6B65"/>
    <w:rsid w:val="006C7EBA"/>
    <w:rsid w:val="006D0418"/>
    <w:rsid w:val="006D17DD"/>
    <w:rsid w:val="006D180C"/>
    <w:rsid w:val="006D2FD0"/>
    <w:rsid w:val="006D3137"/>
    <w:rsid w:val="006D3B5B"/>
    <w:rsid w:val="006D3E06"/>
    <w:rsid w:val="006D48EA"/>
    <w:rsid w:val="006D4B91"/>
    <w:rsid w:val="006D51F4"/>
    <w:rsid w:val="006D6234"/>
    <w:rsid w:val="006D6790"/>
    <w:rsid w:val="006D7903"/>
    <w:rsid w:val="006D794A"/>
    <w:rsid w:val="006E05BE"/>
    <w:rsid w:val="006E0EDB"/>
    <w:rsid w:val="006E17FA"/>
    <w:rsid w:val="006E2C87"/>
    <w:rsid w:val="006E3B24"/>
    <w:rsid w:val="006E4010"/>
    <w:rsid w:val="006E4C4A"/>
    <w:rsid w:val="006E5169"/>
    <w:rsid w:val="006E5A2E"/>
    <w:rsid w:val="006E6328"/>
    <w:rsid w:val="006E6B62"/>
    <w:rsid w:val="006E6F33"/>
    <w:rsid w:val="006F114F"/>
    <w:rsid w:val="006F1B4D"/>
    <w:rsid w:val="006F4550"/>
    <w:rsid w:val="006F598E"/>
    <w:rsid w:val="006F5BE0"/>
    <w:rsid w:val="006F72EB"/>
    <w:rsid w:val="0070031A"/>
    <w:rsid w:val="00702666"/>
    <w:rsid w:val="007046F1"/>
    <w:rsid w:val="00704B76"/>
    <w:rsid w:val="007058B1"/>
    <w:rsid w:val="00710ACF"/>
    <w:rsid w:val="00712EB2"/>
    <w:rsid w:val="00713313"/>
    <w:rsid w:val="00713F04"/>
    <w:rsid w:val="00714405"/>
    <w:rsid w:val="007177B5"/>
    <w:rsid w:val="00720A53"/>
    <w:rsid w:val="00723443"/>
    <w:rsid w:val="007269F9"/>
    <w:rsid w:val="007310FA"/>
    <w:rsid w:val="00731642"/>
    <w:rsid w:val="0073181C"/>
    <w:rsid w:val="00731C15"/>
    <w:rsid w:val="00732273"/>
    <w:rsid w:val="0073341C"/>
    <w:rsid w:val="00735859"/>
    <w:rsid w:val="00736C33"/>
    <w:rsid w:val="0073768F"/>
    <w:rsid w:val="007409A1"/>
    <w:rsid w:val="00740F99"/>
    <w:rsid w:val="00742FBD"/>
    <w:rsid w:val="0074437B"/>
    <w:rsid w:val="00746776"/>
    <w:rsid w:val="007524E2"/>
    <w:rsid w:val="00753403"/>
    <w:rsid w:val="00754D16"/>
    <w:rsid w:val="00755929"/>
    <w:rsid w:val="00760263"/>
    <w:rsid w:val="00760F49"/>
    <w:rsid w:val="0076142F"/>
    <w:rsid w:val="0076241B"/>
    <w:rsid w:val="0076404C"/>
    <w:rsid w:val="00764508"/>
    <w:rsid w:val="00766F35"/>
    <w:rsid w:val="0077058D"/>
    <w:rsid w:val="0077061B"/>
    <w:rsid w:val="007706DE"/>
    <w:rsid w:val="0077203C"/>
    <w:rsid w:val="00773195"/>
    <w:rsid w:val="007733D7"/>
    <w:rsid w:val="0078263C"/>
    <w:rsid w:val="00782B9F"/>
    <w:rsid w:val="00782DAF"/>
    <w:rsid w:val="00783A27"/>
    <w:rsid w:val="0078721A"/>
    <w:rsid w:val="007902BD"/>
    <w:rsid w:val="007913BB"/>
    <w:rsid w:val="00791E74"/>
    <w:rsid w:val="00794CAE"/>
    <w:rsid w:val="00797062"/>
    <w:rsid w:val="007A1B96"/>
    <w:rsid w:val="007A3406"/>
    <w:rsid w:val="007A34C6"/>
    <w:rsid w:val="007A3AA7"/>
    <w:rsid w:val="007A5ED8"/>
    <w:rsid w:val="007A6554"/>
    <w:rsid w:val="007A680B"/>
    <w:rsid w:val="007A7DA5"/>
    <w:rsid w:val="007B19C2"/>
    <w:rsid w:val="007B2167"/>
    <w:rsid w:val="007B2246"/>
    <w:rsid w:val="007B736A"/>
    <w:rsid w:val="007C07F1"/>
    <w:rsid w:val="007C62D3"/>
    <w:rsid w:val="007C63C0"/>
    <w:rsid w:val="007C6B22"/>
    <w:rsid w:val="007C770E"/>
    <w:rsid w:val="007D0B72"/>
    <w:rsid w:val="007D1520"/>
    <w:rsid w:val="007D1CB4"/>
    <w:rsid w:val="007D3237"/>
    <w:rsid w:val="007D3A90"/>
    <w:rsid w:val="007D4576"/>
    <w:rsid w:val="007D4CA4"/>
    <w:rsid w:val="007D6791"/>
    <w:rsid w:val="007D744D"/>
    <w:rsid w:val="007E07D4"/>
    <w:rsid w:val="007E27AA"/>
    <w:rsid w:val="007E73C0"/>
    <w:rsid w:val="007E76D6"/>
    <w:rsid w:val="007E7C7C"/>
    <w:rsid w:val="007E7F2C"/>
    <w:rsid w:val="007F071A"/>
    <w:rsid w:val="007F1A37"/>
    <w:rsid w:val="007F3C81"/>
    <w:rsid w:val="007F5B99"/>
    <w:rsid w:val="007F61F1"/>
    <w:rsid w:val="00800D2A"/>
    <w:rsid w:val="0080292A"/>
    <w:rsid w:val="0080333D"/>
    <w:rsid w:val="00804DDE"/>
    <w:rsid w:val="008069E1"/>
    <w:rsid w:val="00810A51"/>
    <w:rsid w:val="00810BB3"/>
    <w:rsid w:val="0081470F"/>
    <w:rsid w:val="00814B47"/>
    <w:rsid w:val="00815379"/>
    <w:rsid w:val="00816182"/>
    <w:rsid w:val="008167CF"/>
    <w:rsid w:val="008169AA"/>
    <w:rsid w:val="0081735F"/>
    <w:rsid w:val="00817DB4"/>
    <w:rsid w:val="00820BA2"/>
    <w:rsid w:val="008229C5"/>
    <w:rsid w:val="00823EC0"/>
    <w:rsid w:val="00824FCA"/>
    <w:rsid w:val="0082572C"/>
    <w:rsid w:val="0082660F"/>
    <w:rsid w:val="008302F6"/>
    <w:rsid w:val="00830B25"/>
    <w:rsid w:val="00834729"/>
    <w:rsid w:val="00836023"/>
    <w:rsid w:val="008365A4"/>
    <w:rsid w:val="00840A8A"/>
    <w:rsid w:val="008433B9"/>
    <w:rsid w:val="00847D09"/>
    <w:rsid w:val="008518DA"/>
    <w:rsid w:val="00851F4E"/>
    <w:rsid w:val="00852058"/>
    <w:rsid w:val="00853D17"/>
    <w:rsid w:val="00853E7E"/>
    <w:rsid w:val="0085429E"/>
    <w:rsid w:val="00854607"/>
    <w:rsid w:val="00854B3F"/>
    <w:rsid w:val="00855366"/>
    <w:rsid w:val="00855683"/>
    <w:rsid w:val="00855DD7"/>
    <w:rsid w:val="008565FD"/>
    <w:rsid w:val="00856F95"/>
    <w:rsid w:val="00857FE2"/>
    <w:rsid w:val="00860157"/>
    <w:rsid w:val="008607DE"/>
    <w:rsid w:val="00862EE3"/>
    <w:rsid w:val="00865251"/>
    <w:rsid w:val="0086567C"/>
    <w:rsid w:val="00866B86"/>
    <w:rsid w:val="008676E4"/>
    <w:rsid w:val="0087034A"/>
    <w:rsid w:val="008704C6"/>
    <w:rsid w:val="008711E4"/>
    <w:rsid w:val="00871887"/>
    <w:rsid w:val="0087304A"/>
    <w:rsid w:val="00873830"/>
    <w:rsid w:val="0087488C"/>
    <w:rsid w:val="008750D6"/>
    <w:rsid w:val="00875F11"/>
    <w:rsid w:val="00880E46"/>
    <w:rsid w:val="00881044"/>
    <w:rsid w:val="008812B7"/>
    <w:rsid w:val="00881F66"/>
    <w:rsid w:val="00882C70"/>
    <w:rsid w:val="00883EC4"/>
    <w:rsid w:val="0088435B"/>
    <w:rsid w:val="00885444"/>
    <w:rsid w:val="00885A61"/>
    <w:rsid w:val="00887A37"/>
    <w:rsid w:val="00887D4B"/>
    <w:rsid w:val="00890679"/>
    <w:rsid w:val="00890CA4"/>
    <w:rsid w:val="008911A8"/>
    <w:rsid w:val="008911EF"/>
    <w:rsid w:val="008912B3"/>
    <w:rsid w:val="00891B30"/>
    <w:rsid w:val="0089598B"/>
    <w:rsid w:val="00896BD7"/>
    <w:rsid w:val="0089706B"/>
    <w:rsid w:val="00897220"/>
    <w:rsid w:val="008A0696"/>
    <w:rsid w:val="008A0A2E"/>
    <w:rsid w:val="008A0ED6"/>
    <w:rsid w:val="008A1433"/>
    <w:rsid w:val="008A3D70"/>
    <w:rsid w:val="008A44D1"/>
    <w:rsid w:val="008A4A3E"/>
    <w:rsid w:val="008A7A82"/>
    <w:rsid w:val="008B0CD7"/>
    <w:rsid w:val="008B12E0"/>
    <w:rsid w:val="008B2E2F"/>
    <w:rsid w:val="008B6743"/>
    <w:rsid w:val="008C0FEF"/>
    <w:rsid w:val="008C5E8A"/>
    <w:rsid w:val="008D00A9"/>
    <w:rsid w:val="008D1606"/>
    <w:rsid w:val="008D3A72"/>
    <w:rsid w:val="008D4279"/>
    <w:rsid w:val="008D4874"/>
    <w:rsid w:val="008D5914"/>
    <w:rsid w:val="008E1E64"/>
    <w:rsid w:val="008E310E"/>
    <w:rsid w:val="008E42F9"/>
    <w:rsid w:val="008E72C4"/>
    <w:rsid w:val="008E7DEF"/>
    <w:rsid w:val="008F00D8"/>
    <w:rsid w:val="008F1951"/>
    <w:rsid w:val="008F4CAE"/>
    <w:rsid w:val="008F6102"/>
    <w:rsid w:val="008F6788"/>
    <w:rsid w:val="008F70F7"/>
    <w:rsid w:val="0090023B"/>
    <w:rsid w:val="00900B72"/>
    <w:rsid w:val="009031AF"/>
    <w:rsid w:val="00903330"/>
    <w:rsid w:val="00904521"/>
    <w:rsid w:val="00905D55"/>
    <w:rsid w:val="009076DF"/>
    <w:rsid w:val="00907815"/>
    <w:rsid w:val="00911AAF"/>
    <w:rsid w:val="0091267E"/>
    <w:rsid w:val="00913A0A"/>
    <w:rsid w:val="0092103B"/>
    <w:rsid w:val="0092639C"/>
    <w:rsid w:val="00926AC7"/>
    <w:rsid w:val="0093081C"/>
    <w:rsid w:val="00930859"/>
    <w:rsid w:val="00931149"/>
    <w:rsid w:val="009324C7"/>
    <w:rsid w:val="00933A68"/>
    <w:rsid w:val="00933D18"/>
    <w:rsid w:val="00937951"/>
    <w:rsid w:val="00937DD8"/>
    <w:rsid w:val="00942390"/>
    <w:rsid w:val="0094485C"/>
    <w:rsid w:val="00944A46"/>
    <w:rsid w:val="009459C1"/>
    <w:rsid w:val="00950EC9"/>
    <w:rsid w:val="009512F4"/>
    <w:rsid w:val="0095621E"/>
    <w:rsid w:val="00956FF2"/>
    <w:rsid w:val="009638E7"/>
    <w:rsid w:val="00963A5E"/>
    <w:rsid w:val="009649F6"/>
    <w:rsid w:val="0096599E"/>
    <w:rsid w:val="00966104"/>
    <w:rsid w:val="009668E4"/>
    <w:rsid w:val="0097047F"/>
    <w:rsid w:val="00971002"/>
    <w:rsid w:val="00971034"/>
    <w:rsid w:val="00971CC9"/>
    <w:rsid w:val="00972648"/>
    <w:rsid w:val="009738AD"/>
    <w:rsid w:val="00973D28"/>
    <w:rsid w:val="00973D68"/>
    <w:rsid w:val="009742F8"/>
    <w:rsid w:val="00977099"/>
    <w:rsid w:val="00977673"/>
    <w:rsid w:val="00982ED0"/>
    <w:rsid w:val="00983A68"/>
    <w:rsid w:val="00984464"/>
    <w:rsid w:val="00984F63"/>
    <w:rsid w:val="00985247"/>
    <w:rsid w:val="009862AB"/>
    <w:rsid w:val="00986EFA"/>
    <w:rsid w:val="009870EB"/>
    <w:rsid w:val="00990C36"/>
    <w:rsid w:val="009915C2"/>
    <w:rsid w:val="009921F4"/>
    <w:rsid w:val="009927F3"/>
    <w:rsid w:val="00993C0F"/>
    <w:rsid w:val="00993C7D"/>
    <w:rsid w:val="00994F79"/>
    <w:rsid w:val="00995CB0"/>
    <w:rsid w:val="00996546"/>
    <w:rsid w:val="00996EA1"/>
    <w:rsid w:val="009A35CE"/>
    <w:rsid w:val="009A3AB4"/>
    <w:rsid w:val="009A3C2B"/>
    <w:rsid w:val="009A45D2"/>
    <w:rsid w:val="009A5655"/>
    <w:rsid w:val="009A5AA9"/>
    <w:rsid w:val="009A5FF6"/>
    <w:rsid w:val="009A6382"/>
    <w:rsid w:val="009A6624"/>
    <w:rsid w:val="009B0B0E"/>
    <w:rsid w:val="009B3B05"/>
    <w:rsid w:val="009B6530"/>
    <w:rsid w:val="009B72CF"/>
    <w:rsid w:val="009C10ED"/>
    <w:rsid w:val="009C2700"/>
    <w:rsid w:val="009C3ABD"/>
    <w:rsid w:val="009C716B"/>
    <w:rsid w:val="009D12FE"/>
    <w:rsid w:val="009D2BDE"/>
    <w:rsid w:val="009D4038"/>
    <w:rsid w:val="009D4A32"/>
    <w:rsid w:val="009D4B5B"/>
    <w:rsid w:val="009D56D3"/>
    <w:rsid w:val="009D70FE"/>
    <w:rsid w:val="009E0905"/>
    <w:rsid w:val="009E2C08"/>
    <w:rsid w:val="009E4294"/>
    <w:rsid w:val="009E5EE6"/>
    <w:rsid w:val="009E6743"/>
    <w:rsid w:val="009E74F3"/>
    <w:rsid w:val="009F2B04"/>
    <w:rsid w:val="009F2BAB"/>
    <w:rsid w:val="009F3E7C"/>
    <w:rsid w:val="009F4150"/>
    <w:rsid w:val="009F459E"/>
    <w:rsid w:val="009F4E39"/>
    <w:rsid w:val="009F646E"/>
    <w:rsid w:val="009F7BAD"/>
    <w:rsid w:val="00A01208"/>
    <w:rsid w:val="00A0301B"/>
    <w:rsid w:val="00A07D64"/>
    <w:rsid w:val="00A07E63"/>
    <w:rsid w:val="00A146D6"/>
    <w:rsid w:val="00A14FF5"/>
    <w:rsid w:val="00A16335"/>
    <w:rsid w:val="00A170FF"/>
    <w:rsid w:val="00A203EB"/>
    <w:rsid w:val="00A24008"/>
    <w:rsid w:val="00A249CB"/>
    <w:rsid w:val="00A320A1"/>
    <w:rsid w:val="00A35E9C"/>
    <w:rsid w:val="00A36DCA"/>
    <w:rsid w:val="00A3754E"/>
    <w:rsid w:val="00A37AE1"/>
    <w:rsid w:val="00A40DC6"/>
    <w:rsid w:val="00A42BD2"/>
    <w:rsid w:val="00A42FC1"/>
    <w:rsid w:val="00A45FAC"/>
    <w:rsid w:val="00A47380"/>
    <w:rsid w:val="00A52822"/>
    <w:rsid w:val="00A53708"/>
    <w:rsid w:val="00A55B5D"/>
    <w:rsid w:val="00A55BD9"/>
    <w:rsid w:val="00A57901"/>
    <w:rsid w:val="00A60D82"/>
    <w:rsid w:val="00A619A4"/>
    <w:rsid w:val="00A62BAC"/>
    <w:rsid w:val="00A64E3E"/>
    <w:rsid w:val="00A65B10"/>
    <w:rsid w:val="00A67759"/>
    <w:rsid w:val="00A7012E"/>
    <w:rsid w:val="00A7246B"/>
    <w:rsid w:val="00A72FAF"/>
    <w:rsid w:val="00A746B3"/>
    <w:rsid w:val="00A74E71"/>
    <w:rsid w:val="00A76620"/>
    <w:rsid w:val="00A77885"/>
    <w:rsid w:val="00A77A62"/>
    <w:rsid w:val="00A811EB"/>
    <w:rsid w:val="00A81370"/>
    <w:rsid w:val="00A821F0"/>
    <w:rsid w:val="00A84CF1"/>
    <w:rsid w:val="00A876FE"/>
    <w:rsid w:val="00A92B54"/>
    <w:rsid w:val="00A9468C"/>
    <w:rsid w:val="00A95B05"/>
    <w:rsid w:val="00A96D96"/>
    <w:rsid w:val="00AA05BB"/>
    <w:rsid w:val="00AA1189"/>
    <w:rsid w:val="00AA1A0B"/>
    <w:rsid w:val="00AA41FE"/>
    <w:rsid w:val="00AA4616"/>
    <w:rsid w:val="00AA539A"/>
    <w:rsid w:val="00AA6605"/>
    <w:rsid w:val="00AA69A4"/>
    <w:rsid w:val="00AA6DB2"/>
    <w:rsid w:val="00AA76DC"/>
    <w:rsid w:val="00AA79C8"/>
    <w:rsid w:val="00AA7AB7"/>
    <w:rsid w:val="00AA7F1B"/>
    <w:rsid w:val="00AB08D6"/>
    <w:rsid w:val="00AB2AF0"/>
    <w:rsid w:val="00AB4B5C"/>
    <w:rsid w:val="00AB630E"/>
    <w:rsid w:val="00AB76E9"/>
    <w:rsid w:val="00AC311B"/>
    <w:rsid w:val="00AC4305"/>
    <w:rsid w:val="00AC63A8"/>
    <w:rsid w:val="00AC65A6"/>
    <w:rsid w:val="00AC6880"/>
    <w:rsid w:val="00AC6D4F"/>
    <w:rsid w:val="00AD007D"/>
    <w:rsid w:val="00AD0B4B"/>
    <w:rsid w:val="00AD32F7"/>
    <w:rsid w:val="00AD5B50"/>
    <w:rsid w:val="00AD6E3B"/>
    <w:rsid w:val="00AD75AC"/>
    <w:rsid w:val="00AE209E"/>
    <w:rsid w:val="00AE3BC6"/>
    <w:rsid w:val="00AE40FB"/>
    <w:rsid w:val="00AE421B"/>
    <w:rsid w:val="00AE4E67"/>
    <w:rsid w:val="00AE5117"/>
    <w:rsid w:val="00AE55A9"/>
    <w:rsid w:val="00AE6011"/>
    <w:rsid w:val="00AE7194"/>
    <w:rsid w:val="00AE77D0"/>
    <w:rsid w:val="00AF0210"/>
    <w:rsid w:val="00AF193C"/>
    <w:rsid w:val="00AF2AE2"/>
    <w:rsid w:val="00AF6138"/>
    <w:rsid w:val="00AF614C"/>
    <w:rsid w:val="00AF63AB"/>
    <w:rsid w:val="00B01F4C"/>
    <w:rsid w:val="00B0283A"/>
    <w:rsid w:val="00B03372"/>
    <w:rsid w:val="00B03C5D"/>
    <w:rsid w:val="00B03D0C"/>
    <w:rsid w:val="00B05A85"/>
    <w:rsid w:val="00B07707"/>
    <w:rsid w:val="00B078F5"/>
    <w:rsid w:val="00B178B0"/>
    <w:rsid w:val="00B2494E"/>
    <w:rsid w:val="00B24C58"/>
    <w:rsid w:val="00B25947"/>
    <w:rsid w:val="00B25C7F"/>
    <w:rsid w:val="00B32A8C"/>
    <w:rsid w:val="00B33297"/>
    <w:rsid w:val="00B34003"/>
    <w:rsid w:val="00B34D1A"/>
    <w:rsid w:val="00B35948"/>
    <w:rsid w:val="00B360E6"/>
    <w:rsid w:val="00B37621"/>
    <w:rsid w:val="00B402AF"/>
    <w:rsid w:val="00B41917"/>
    <w:rsid w:val="00B4300F"/>
    <w:rsid w:val="00B446C4"/>
    <w:rsid w:val="00B44AE3"/>
    <w:rsid w:val="00B46238"/>
    <w:rsid w:val="00B466AA"/>
    <w:rsid w:val="00B508EF"/>
    <w:rsid w:val="00B50B9F"/>
    <w:rsid w:val="00B50D43"/>
    <w:rsid w:val="00B511A1"/>
    <w:rsid w:val="00B51867"/>
    <w:rsid w:val="00B51F49"/>
    <w:rsid w:val="00B52628"/>
    <w:rsid w:val="00B529C3"/>
    <w:rsid w:val="00B5522A"/>
    <w:rsid w:val="00B55A80"/>
    <w:rsid w:val="00B567BE"/>
    <w:rsid w:val="00B5787D"/>
    <w:rsid w:val="00B57AFB"/>
    <w:rsid w:val="00B612F2"/>
    <w:rsid w:val="00B6366B"/>
    <w:rsid w:val="00B6666C"/>
    <w:rsid w:val="00B6747E"/>
    <w:rsid w:val="00B67D0A"/>
    <w:rsid w:val="00B7628E"/>
    <w:rsid w:val="00B76F62"/>
    <w:rsid w:val="00B77786"/>
    <w:rsid w:val="00B80EA2"/>
    <w:rsid w:val="00B8164F"/>
    <w:rsid w:val="00B81A96"/>
    <w:rsid w:val="00B825C7"/>
    <w:rsid w:val="00B85609"/>
    <w:rsid w:val="00B873ED"/>
    <w:rsid w:val="00B8758B"/>
    <w:rsid w:val="00B91E46"/>
    <w:rsid w:val="00B93808"/>
    <w:rsid w:val="00B95B2F"/>
    <w:rsid w:val="00B96281"/>
    <w:rsid w:val="00BA438C"/>
    <w:rsid w:val="00BA7765"/>
    <w:rsid w:val="00BA7CB4"/>
    <w:rsid w:val="00BB020A"/>
    <w:rsid w:val="00BB06C2"/>
    <w:rsid w:val="00BB3C18"/>
    <w:rsid w:val="00BB57E0"/>
    <w:rsid w:val="00BB5EAA"/>
    <w:rsid w:val="00BB7990"/>
    <w:rsid w:val="00BC0095"/>
    <w:rsid w:val="00BC0DDA"/>
    <w:rsid w:val="00BC2C91"/>
    <w:rsid w:val="00BC5C9F"/>
    <w:rsid w:val="00BC72F3"/>
    <w:rsid w:val="00BC79D3"/>
    <w:rsid w:val="00BC7BA7"/>
    <w:rsid w:val="00BD0230"/>
    <w:rsid w:val="00BD20C6"/>
    <w:rsid w:val="00BD3283"/>
    <w:rsid w:val="00BD3483"/>
    <w:rsid w:val="00BD5029"/>
    <w:rsid w:val="00BD73A7"/>
    <w:rsid w:val="00BE07D7"/>
    <w:rsid w:val="00BE0897"/>
    <w:rsid w:val="00BE0DE7"/>
    <w:rsid w:val="00BE0FB3"/>
    <w:rsid w:val="00BE105C"/>
    <w:rsid w:val="00BE331B"/>
    <w:rsid w:val="00BE4453"/>
    <w:rsid w:val="00BE4CBA"/>
    <w:rsid w:val="00BE57E3"/>
    <w:rsid w:val="00BE659B"/>
    <w:rsid w:val="00BE770C"/>
    <w:rsid w:val="00BE7FC8"/>
    <w:rsid w:val="00BF1684"/>
    <w:rsid w:val="00BF2783"/>
    <w:rsid w:val="00BF3624"/>
    <w:rsid w:val="00BF54B1"/>
    <w:rsid w:val="00BF574E"/>
    <w:rsid w:val="00BF5B37"/>
    <w:rsid w:val="00BF726B"/>
    <w:rsid w:val="00BF7294"/>
    <w:rsid w:val="00BF750A"/>
    <w:rsid w:val="00C006FE"/>
    <w:rsid w:val="00C007F9"/>
    <w:rsid w:val="00C00872"/>
    <w:rsid w:val="00C03172"/>
    <w:rsid w:val="00C04367"/>
    <w:rsid w:val="00C05289"/>
    <w:rsid w:val="00C05D60"/>
    <w:rsid w:val="00C110F1"/>
    <w:rsid w:val="00C11579"/>
    <w:rsid w:val="00C11E4D"/>
    <w:rsid w:val="00C1221F"/>
    <w:rsid w:val="00C14435"/>
    <w:rsid w:val="00C15C28"/>
    <w:rsid w:val="00C15D04"/>
    <w:rsid w:val="00C20E1D"/>
    <w:rsid w:val="00C214C1"/>
    <w:rsid w:val="00C21A89"/>
    <w:rsid w:val="00C2355A"/>
    <w:rsid w:val="00C23CB3"/>
    <w:rsid w:val="00C23CC8"/>
    <w:rsid w:val="00C27350"/>
    <w:rsid w:val="00C35A29"/>
    <w:rsid w:val="00C35E0D"/>
    <w:rsid w:val="00C41EF8"/>
    <w:rsid w:val="00C42A93"/>
    <w:rsid w:val="00C4329F"/>
    <w:rsid w:val="00C445D1"/>
    <w:rsid w:val="00C452E9"/>
    <w:rsid w:val="00C479FE"/>
    <w:rsid w:val="00C50316"/>
    <w:rsid w:val="00C5038B"/>
    <w:rsid w:val="00C50411"/>
    <w:rsid w:val="00C513FF"/>
    <w:rsid w:val="00C55168"/>
    <w:rsid w:val="00C601FA"/>
    <w:rsid w:val="00C6025F"/>
    <w:rsid w:val="00C6126E"/>
    <w:rsid w:val="00C62274"/>
    <w:rsid w:val="00C64E28"/>
    <w:rsid w:val="00C64FC7"/>
    <w:rsid w:val="00C65235"/>
    <w:rsid w:val="00C670DF"/>
    <w:rsid w:val="00C67199"/>
    <w:rsid w:val="00C71495"/>
    <w:rsid w:val="00C714C3"/>
    <w:rsid w:val="00C7291D"/>
    <w:rsid w:val="00C73A21"/>
    <w:rsid w:val="00C74F67"/>
    <w:rsid w:val="00C77E4D"/>
    <w:rsid w:val="00C82008"/>
    <w:rsid w:val="00C8350B"/>
    <w:rsid w:val="00C84728"/>
    <w:rsid w:val="00C90A07"/>
    <w:rsid w:val="00C91992"/>
    <w:rsid w:val="00C921A5"/>
    <w:rsid w:val="00C92961"/>
    <w:rsid w:val="00C9326B"/>
    <w:rsid w:val="00C93C75"/>
    <w:rsid w:val="00C95033"/>
    <w:rsid w:val="00C9544A"/>
    <w:rsid w:val="00CA0126"/>
    <w:rsid w:val="00CA23AA"/>
    <w:rsid w:val="00CA50BC"/>
    <w:rsid w:val="00CA50FC"/>
    <w:rsid w:val="00CA5C21"/>
    <w:rsid w:val="00CA6FC6"/>
    <w:rsid w:val="00CA7117"/>
    <w:rsid w:val="00CB205F"/>
    <w:rsid w:val="00CB2B99"/>
    <w:rsid w:val="00CB2C1A"/>
    <w:rsid w:val="00CB2F50"/>
    <w:rsid w:val="00CB3C1E"/>
    <w:rsid w:val="00CB3CC9"/>
    <w:rsid w:val="00CB4D52"/>
    <w:rsid w:val="00CB58BD"/>
    <w:rsid w:val="00CB760E"/>
    <w:rsid w:val="00CC391F"/>
    <w:rsid w:val="00CC3EC4"/>
    <w:rsid w:val="00CC49B3"/>
    <w:rsid w:val="00CC4D90"/>
    <w:rsid w:val="00CC55FE"/>
    <w:rsid w:val="00CC6034"/>
    <w:rsid w:val="00CC6CEC"/>
    <w:rsid w:val="00CD1287"/>
    <w:rsid w:val="00CD2C95"/>
    <w:rsid w:val="00CD53FE"/>
    <w:rsid w:val="00CD69C1"/>
    <w:rsid w:val="00CE137A"/>
    <w:rsid w:val="00CE3FE7"/>
    <w:rsid w:val="00CE4232"/>
    <w:rsid w:val="00CE6EC3"/>
    <w:rsid w:val="00CE6ED8"/>
    <w:rsid w:val="00CE7A7F"/>
    <w:rsid w:val="00CF096F"/>
    <w:rsid w:val="00CF714A"/>
    <w:rsid w:val="00CF7521"/>
    <w:rsid w:val="00CF7DFB"/>
    <w:rsid w:val="00CF7F80"/>
    <w:rsid w:val="00D00474"/>
    <w:rsid w:val="00D00BBF"/>
    <w:rsid w:val="00D01470"/>
    <w:rsid w:val="00D02741"/>
    <w:rsid w:val="00D02EDD"/>
    <w:rsid w:val="00D05282"/>
    <w:rsid w:val="00D10787"/>
    <w:rsid w:val="00D15DD1"/>
    <w:rsid w:val="00D16DFF"/>
    <w:rsid w:val="00D206D6"/>
    <w:rsid w:val="00D22EF9"/>
    <w:rsid w:val="00D2450F"/>
    <w:rsid w:val="00D267CE"/>
    <w:rsid w:val="00D27BCC"/>
    <w:rsid w:val="00D30711"/>
    <w:rsid w:val="00D32E70"/>
    <w:rsid w:val="00D32E94"/>
    <w:rsid w:val="00D33726"/>
    <w:rsid w:val="00D337F8"/>
    <w:rsid w:val="00D34A48"/>
    <w:rsid w:val="00D36724"/>
    <w:rsid w:val="00D37679"/>
    <w:rsid w:val="00D40678"/>
    <w:rsid w:val="00D42A27"/>
    <w:rsid w:val="00D432E9"/>
    <w:rsid w:val="00D43867"/>
    <w:rsid w:val="00D44241"/>
    <w:rsid w:val="00D44B50"/>
    <w:rsid w:val="00D45C7C"/>
    <w:rsid w:val="00D45CC0"/>
    <w:rsid w:val="00D462DA"/>
    <w:rsid w:val="00D46B8E"/>
    <w:rsid w:val="00D472F9"/>
    <w:rsid w:val="00D506A8"/>
    <w:rsid w:val="00D52496"/>
    <w:rsid w:val="00D52978"/>
    <w:rsid w:val="00D54AF0"/>
    <w:rsid w:val="00D563BE"/>
    <w:rsid w:val="00D573FB"/>
    <w:rsid w:val="00D60BA9"/>
    <w:rsid w:val="00D6267A"/>
    <w:rsid w:val="00D636A5"/>
    <w:rsid w:val="00D63D56"/>
    <w:rsid w:val="00D66797"/>
    <w:rsid w:val="00D66CC3"/>
    <w:rsid w:val="00D73F23"/>
    <w:rsid w:val="00D74FCD"/>
    <w:rsid w:val="00D773C2"/>
    <w:rsid w:val="00D807B5"/>
    <w:rsid w:val="00D814B8"/>
    <w:rsid w:val="00D81529"/>
    <w:rsid w:val="00D8238E"/>
    <w:rsid w:val="00D87EDC"/>
    <w:rsid w:val="00D92592"/>
    <w:rsid w:val="00D944C6"/>
    <w:rsid w:val="00DA035B"/>
    <w:rsid w:val="00DA368F"/>
    <w:rsid w:val="00DA460B"/>
    <w:rsid w:val="00DA4BE1"/>
    <w:rsid w:val="00DA4FAB"/>
    <w:rsid w:val="00DB1E58"/>
    <w:rsid w:val="00DB4BA0"/>
    <w:rsid w:val="00DC039C"/>
    <w:rsid w:val="00DC0CD0"/>
    <w:rsid w:val="00DC1436"/>
    <w:rsid w:val="00DC16BA"/>
    <w:rsid w:val="00DC1990"/>
    <w:rsid w:val="00DC271A"/>
    <w:rsid w:val="00DC605C"/>
    <w:rsid w:val="00DC6871"/>
    <w:rsid w:val="00DC6CB8"/>
    <w:rsid w:val="00DC7A6C"/>
    <w:rsid w:val="00DC7EAB"/>
    <w:rsid w:val="00DD0758"/>
    <w:rsid w:val="00DD29DA"/>
    <w:rsid w:val="00DD541E"/>
    <w:rsid w:val="00DD5FDF"/>
    <w:rsid w:val="00DD7AA5"/>
    <w:rsid w:val="00DD7AD3"/>
    <w:rsid w:val="00DE0D6C"/>
    <w:rsid w:val="00DE123A"/>
    <w:rsid w:val="00DE161D"/>
    <w:rsid w:val="00DE2FD1"/>
    <w:rsid w:val="00DE61AF"/>
    <w:rsid w:val="00DE6FAB"/>
    <w:rsid w:val="00DE7C06"/>
    <w:rsid w:val="00DF0977"/>
    <w:rsid w:val="00DF1AFD"/>
    <w:rsid w:val="00DF250A"/>
    <w:rsid w:val="00DF30E8"/>
    <w:rsid w:val="00DF43A7"/>
    <w:rsid w:val="00DF4CD6"/>
    <w:rsid w:val="00DF51D6"/>
    <w:rsid w:val="00DF58BC"/>
    <w:rsid w:val="00DF5B07"/>
    <w:rsid w:val="00DF5FE4"/>
    <w:rsid w:val="00DF60D1"/>
    <w:rsid w:val="00DF6AAC"/>
    <w:rsid w:val="00E02EFF"/>
    <w:rsid w:val="00E04263"/>
    <w:rsid w:val="00E05176"/>
    <w:rsid w:val="00E06961"/>
    <w:rsid w:val="00E07F02"/>
    <w:rsid w:val="00E1073E"/>
    <w:rsid w:val="00E1179B"/>
    <w:rsid w:val="00E1266D"/>
    <w:rsid w:val="00E14659"/>
    <w:rsid w:val="00E158BD"/>
    <w:rsid w:val="00E16EDA"/>
    <w:rsid w:val="00E176F7"/>
    <w:rsid w:val="00E208D2"/>
    <w:rsid w:val="00E25711"/>
    <w:rsid w:val="00E268D9"/>
    <w:rsid w:val="00E30648"/>
    <w:rsid w:val="00E313B1"/>
    <w:rsid w:val="00E31DE9"/>
    <w:rsid w:val="00E35AC1"/>
    <w:rsid w:val="00E35E46"/>
    <w:rsid w:val="00E36C67"/>
    <w:rsid w:val="00E36EA4"/>
    <w:rsid w:val="00E37CC9"/>
    <w:rsid w:val="00E428B0"/>
    <w:rsid w:val="00E44773"/>
    <w:rsid w:val="00E4652D"/>
    <w:rsid w:val="00E52362"/>
    <w:rsid w:val="00E55F1C"/>
    <w:rsid w:val="00E60502"/>
    <w:rsid w:val="00E6059B"/>
    <w:rsid w:val="00E6279A"/>
    <w:rsid w:val="00E62E91"/>
    <w:rsid w:val="00E63522"/>
    <w:rsid w:val="00E65AA2"/>
    <w:rsid w:val="00E66991"/>
    <w:rsid w:val="00E676AE"/>
    <w:rsid w:val="00E707B6"/>
    <w:rsid w:val="00E708F5"/>
    <w:rsid w:val="00E70D95"/>
    <w:rsid w:val="00E71622"/>
    <w:rsid w:val="00E721D0"/>
    <w:rsid w:val="00E737F4"/>
    <w:rsid w:val="00E74416"/>
    <w:rsid w:val="00E74B1A"/>
    <w:rsid w:val="00E76852"/>
    <w:rsid w:val="00E77A16"/>
    <w:rsid w:val="00E80170"/>
    <w:rsid w:val="00E80609"/>
    <w:rsid w:val="00E819B0"/>
    <w:rsid w:val="00E844D0"/>
    <w:rsid w:val="00E852CC"/>
    <w:rsid w:val="00E85626"/>
    <w:rsid w:val="00E92233"/>
    <w:rsid w:val="00E94B73"/>
    <w:rsid w:val="00E95782"/>
    <w:rsid w:val="00E9795A"/>
    <w:rsid w:val="00E97F1C"/>
    <w:rsid w:val="00EA53B6"/>
    <w:rsid w:val="00EA53F7"/>
    <w:rsid w:val="00EB220E"/>
    <w:rsid w:val="00EB40E6"/>
    <w:rsid w:val="00EB48AB"/>
    <w:rsid w:val="00EB55BC"/>
    <w:rsid w:val="00EC0A23"/>
    <w:rsid w:val="00EC214F"/>
    <w:rsid w:val="00EC2A2E"/>
    <w:rsid w:val="00EC2FBB"/>
    <w:rsid w:val="00EC5B97"/>
    <w:rsid w:val="00EC5F51"/>
    <w:rsid w:val="00EC602A"/>
    <w:rsid w:val="00EC77B8"/>
    <w:rsid w:val="00ED2578"/>
    <w:rsid w:val="00ED5C8F"/>
    <w:rsid w:val="00EE04C6"/>
    <w:rsid w:val="00EE1AEB"/>
    <w:rsid w:val="00EE1C47"/>
    <w:rsid w:val="00EE29CD"/>
    <w:rsid w:val="00EE3379"/>
    <w:rsid w:val="00EE458B"/>
    <w:rsid w:val="00EE4CDD"/>
    <w:rsid w:val="00EF06C6"/>
    <w:rsid w:val="00EF115C"/>
    <w:rsid w:val="00EF26D3"/>
    <w:rsid w:val="00EF2E60"/>
    <w:rsid w:val="00EF4017"/>
    <w:rsid w:val="00EF4A15"/>
    <w:rsid w:val="00EF4F0E"/>
    <w:rsid w:val="00EF73E0"/>
    <w:rsid w:val="00EF7B53"/>
    <w:rsid w:val="00F00B26"/>
    <w:rsid w:val="00F01B6C"/>
    <w:rsid w:val="00F0259A"/>
    <w:rsid w:val="00F042B0"/>
    <w:rsid w:val="00F044B3"/>
    <w:rsid w:val="00F05EA9"/>
    <w:rsid w:val="00F05F97"/>
    <w:rsid w:val="00F0757E"/>
    <w:rsid w:val="00F10409"/>
    <w:rsid w:val="00F14F91"/>
    <w:rsid w:val="00F15EE6"/>
    <w:rsid w:val="00F16118"/>
    <w:rsid w:val="00F17339"/>
    <w:rsid w:val="00F2047F"/>
    <w:rsid w:val="00F214E2"/>
    <w:rsid w:val="00F21740"/>
    <w:rsid w:val="00F25109"/>
    <w:rsid w:val="00F2656D"/>
    <w:rsid w:val="00F2679B"/>
    <w:rsid w:val="00F27511"/>
    <w:rsid w:val="00F2775C"/>
    <w:rsid w:val="00F27E3B"/>
    <w:rsid w:val="00F3128A"/>
    <w:rsid w:val="00F36F33"/>
    <w:rsid w:val="00F3768E"/>
    <w:rsid w:val="00F40585"/>
    <w:rsid w:val="00F41A39"/>
    <w:rsid w:val="00F42BEB"/>
    <w:rsid w:val="00F4307E"/>
    <w:rsid w:val="00F5025D"/>
    <w:rsid w:val="00F51CF4"/>
    <w:rsid w:val="00F52DF9"/>
    <w:rsid w:val="00F6095B"/>
    <w:rsid w:val="00F612E4"/>
    <w:rsid w:val="00F63EC3"/>
    <w:rsid w:val="00F643C5"/>
    <w:rsid w:val="00F64C31"/>
    <w:rsid w:val="00F7203F"/>
    <w:rsid w:val="00F73EF7"/>
    <w:rsid w:val="00F7450D"/>
    <w:rsid w:val="00F74EF0"/>
    <w:rsid w:val="00F75389"/>
    <w:rsid w:val="00F80E2D"/>
    <w:rsid w:val="00F82044"/>
    <w:rsid w:val="00F830A9"/>
    <w:rsid w:val="00F835F9"/>
    <w:rsid w:val="00F90ECA"/>
    <w:rsid w:val="00F92A8F"/>
    <w:rsid w:val="00F9587D"/>
    <w:rsid w:val="00F95B1A"/>
    <w:rsid w:val="00FA1163"/>
    <w:rsid w:val="00FA3BB4"/>
    <w:rsid w:val="00FA5A71"/>
    <w:rsid w:val="00FB1ADB"/>
    <w:rsid w:val="00FB23CF"/>
    <w:rsid w:val="00FB4758"/>
    <w:rsid w:val="00FB4BEF"/>
    <w:rsid w:val="00FB4DEA"/>
    <w:rsid w:val="00FC0DE4"/>
    <w:rsid w:val="00FC0F3E"/>
    <w:rsid w:val="00FC66ED"/>
    <w:rsid w:val="00FC797D"/>
    <w:rsid w:val="00FD1686"/>
    <w:rsid w:val="00FD1C0A"/>
    <w:rsid w:val="00FD290E"/>
    <w:rsid w:val="00FD42D5"/>
    <w:rsid w:val="00FD4353"/>
    <w:rsid w:val="00FD64B1"/>
    <w:rsid w:val="00FD685D"/>
    <w:rsid w:val="00FE2769"/>
    <w:rsid w:val="00FE2A66"/>
    <w:rsid w:val="00FE5F33"/>
    <w:rsid w:val="00FE69B2"/>
    <w:rsid w:val="00FE69E1"/>
    <w:rsid w:val="00FE6F10"/>
    <w:rsid w:val="00FF08A7"/>
    <w:rsid w:val="00FF514F"/>
    <w:rsid w:val="012F66A0"/>
    <w:rsid w:val="01652726"/>
    <w:rsid w:val="01652996"/>
    <w:rsid w:val="0167398B"/>
    <w:rsid w:val="01687703"/>
    <w:rsid w:val="016E5A3D"/>
    <w:rsid w:val="017228E1"/>
    <w:rsid w:val="01832DD7"/>
    <w:rsid w:val="01A82F49"/>
    <w:rsid w:val="01CC5EE4"/>
    <w:rsid w:val="01F57072"/>
    <w:rsid w:val="02082122"/>
    <w:rsid w:val="020D503A"/>
    <w:rsid w:val="021B1B40"/>
    <w:rsid w:val="023E3A16"/>
    <w:rsid w:val="0298699A"/>
    <w:rsid w:val="029A778E"/>
    <w:rsid w:val="030F6088"/>
    <w:rsid w:val="03125B78"/>
    <w:rsid w:val="0313544C"/>
    <w:rsid w:val="032B6C98"/>
    <w:rsid w:val="03366282"/>
    <w:rsid w:val="03600692"/>
    <w:rsid w:val="03677798"/>
    <w:rsid w:val="03766107"/>
    <w:rsid w:val="03AA4003"/>
    <w:rsid w:val="03E665AA"/>
    <w:rsid w:val="03F86B1C"/>
    <w:rsid w:val="041B280B"/>
    <w:rsid w:val="04275653"/>
    <w:rsid w:val="042C0EBC"/>
    <w:rsid w:val="043B4C5B"/>
    <w:rsid w:val="0447077C"/>
    <w:rsid w:val="04482DA7"/>
    <w:rsid w:val="04BA560B"/>
    <w:rsid w:val="04D66D40"/>
    <w:rsid w:val="04FF037E"/>
    <w:rsid w:val="051D47FF"/>
    <w:rsid w:val="052B1173"/>
    <w:rsid w:val="052E0279"/>
    <w:rsid w:val="054B032E"/>
    <w:rsid w:val="05740424"/>
    <w:rsid w:val="05917228"/>
    <w:rsid w:val="05A51E16"/>
    <w:rsid w:val="05EE6337"/>
    <w:rsid w:val="05F311AF"/>
    <w:rsid w:val="05FD0669"/>
    <w:rsid w:val="062B32B8"/>
    <w:rsid w:val="062E47C6"/>
    <w:rsid w:val="0664493D"/>
    <w:rsid w:val="066F5090"/>
    <w:rsid w:val="06B01930"/>
    <w:rsid w:val="06C249CA"/>
    <w:rsid w:val="06FD7CBD"/>
    <w:rsid w:val="070D6D82"/>
    <w:rsid w:val="070F05F0"/>
    <w:rsid w:val="071C53AB"/>
    <w:rsid w:val="072B4EC7"/>
    <w:rsid w:val="07465DF0"/>
    <w:rsid w:val="07A33243"/>
    <w:rsid w:val="07B23486"/>
    <w:rsid w:val="07B44B11"/>
    <w:rsid w:val="07DB47E0"/>
    <w:rsid w:val="07E63242"/>
    <w:rsid w:val="07EE3CA5"/>
    <w:rsid w:val="08194BCB"/>
    <w:rsid w:val="083D71F3"/>
    <w:rsid w:val="08CC4A1B"/>
    <w:rsid w:val="08DE302E"/>
    <w:rsid w:val="08FC584F"/>
    <w:rsid w:val="090146C5"/>
    <w:rsid w:val="095C7B4D"/>
    <w:rsid w:val="09B0372D"/>
    <w:rsid w:val="09B71227"/>
    <w:rsid w:val="0A2D14EA"/>
    <w:rsid w:val="0A5922DF"/>
    <w:rsid w:val="0AA07F0D"/>
    <w:rsid w:val="0AB217E6"/>
    <w:rsid w:val="0AB26FE6"/>
    <w:rsid w:val="0ABB08A3"/>
    <w:rsid w:val="0AE0655C"/>
    <w:rsid w:val="0AE42648"/>
    <w:rsid w:val="0AEC3153"/>
    <w:rsid w:val="0AEE1471"/>
    <w:rsid w:val="0AF24602"/>
    <w:rsid w:val="0AF66BEA"/>
    <w:rsid w:val="0AFD710E"/>
    <w:rsid w:val="0B24469B"/>
    <w:rsid w:val="0B46416C"/>
    <w:rsid w:val="0B502E8B"/>
    <w:rsid w:val="0B8933C5"/>
    <w:rsid w:val="0BB6673C"/>
    <w:rsid w:val="0BD52C85"/>
    <w:rsid w:val="0C455161"/>
    <w:rsid w:val="0C4763E2"/>
    <w:rsid w:val="0C52092A"/>
    <w:rsid w:val="0C66493B"/>
    <w:rsid w:val="0C9D1271"/>
    <w:rsid w:val="0CDF2BD8"/>
    <w:rsid w:val="0CF54541"/>
    <w:rsid w:val="0D3B4AF9"/>
    <w:rsid w:val="0D896A37"/>
    <w:rsid w:val="0D896EB7"/>
    <w:rsid w:val="0DA26EDD"/>
    <w:rsid w:val="0DB241E0"/>
    <w:rsid w:val="0DB273FE"/>
    <w:rsid w:val="0DC600E6"/>
    <w:rsid w:val="0DF742E8"/>
    <w:rsid w:val="0E20163B"/>
    <w:rsid w:val="0E214EC1"/>
    <w:rsid w:val="0E4F1A2E"/>
    <w:rsid w:val="0E8E7A8F"/>
    <w:rsid w:val="0EB70F20"/>
    <w:rsid w:val="0F0C1769"/>
    <w:rsid w:val="0F116ACB"/>
    <w:rsid w:val="0F916077"/>
    <w:rsid w:val="0FC63F72"/>
    <w:rsid w:val="0FD4094C"/>
    <w:rsid w:val="0FE30CA0"/>
    <w:rsid w:val="0FEA62BA"/>
    <w:rsid w:val="0FFF1232"/>
    <w:rsid w:val="104B6809"/>
    <w:rsid w:val="10CB66A1"/>
    <w:rsid w:val="10D10E21"/>
    <w:rsid w:val="10D40911"/>
    <w:rsid w:val="10EA6C88"/>
    <w:rsid w:val="10F7015B"/>
    <w:rsid w:val="10FE598E"/>
    <w:rsid w:val="11153A62"/>
    <w:rsid w:val="112278CE"/>
    <w:rsid w:val="113029E1"/>
    <w:rsid w:val="113B1C7F"/>
    <w:rsid w:val="116C6D9B"/>
    <w:rsid w:val="11B60016"/>
    <w:rsid w:val="11BA6C47"/>
    <w:rsid w:val="11E73CD9"/>
    <w:rsid w:val="11F50B3F"/>
    <w:rsid w:val="11FB35F8"/>
    <w:rsid w:val="123A0C48"/>
    <w:rsid w:val="123A29F6"/>
    <w:rsid w:val="127A7AF3"/>
    <w:rsid w:val="128957C3"/>
    <w:rsid w:val="12A00C02"/>
    <w:rsid w:val="12E34E3B"/>
    <w:rsid w:val="12EA61CA"/>
    <w:rsid w:val="130A061A"/>
    <w:rsid w:val="133631BD"/>
    <w:rsid w:val="136F4921"/>
    <w:rsid w:val="13A20852"/>
    <w:rsid w:val="13AC347F"/>
    <w:rsid w:val="13C20EF5"/>
    <w:rsid w:val="13F05A62"/>
    <w:rsid w:val="140C50F1"/>
    <w:rsid w:val="14213A2E"/>
    <w:rsid w:val="143040B0"/>
    <w:rsid w:val="143811B7"/>
    <w:rsid w:val="1443145C"/>
    <w:rsid w:val="14537D9F"/>
    <w:rsid w:val="145E1792"/>
    <w:rsid w:val="1463285F"/>
    <w:rsid w:val="1480197C"/>
    <w:rsid w:val="14824196"/>
    <w:rsid w:val="14935266"/>
    <w:rsid w:val="14AF1B33"/>
    <w:rsid w:val="14B9631C"/>
    <w:rsid w:val="14CE64AB"/>
    <w:rsid w:val="1517701E"/>
    <w:rsid w:val="15400323"/>
    <w:rsid w:val="155838BF"/>
    <w:rsid w:val="155F3980"/>
    <w:rsid w:val="15E52C78"/>
    <w:rsid w:val="15E57A7B"/>
    <w:rsid w:val="164228A4"/>
    <w:rsid w:val="169D0DBE"/>
    <w:rsid w:val="16CB00C0"/>
    <w:rsid w:val="17084E70"/>
    <w:rsid w:val="170F26A3"/>
    <w:rsid w:val="172911E6"/>
    <w:rsid w:val="17366DED"/>
    <w:rsid w:val="17780264"/>
    <w:rsid w:val="17822A00"/>
    <w:rsid w:val="180214B2"/>
    <w:rsid w:val="182F5F8B"/>
    <w:rsid w:val="18390D96"/>
    <w:rsid w:val="18673E19"/>
    <w:rsid w:val="18982224"/>
    <w:rsid w:val="189D069A"/>
    <w:rsid w:val="18E54692"/>
    <w:rsid w:val="18EE0096"/>
    <w:rsid w:val="18F8126A"/>
    <w:rsid w:val="1914157A"/>
    <w:rsid w:val="19347F92"/>
    <w:rsid w:val="19546884"/>
    <w:rsid w:val="199155F1"/>
    <w:rsid w:val="19DC633A"/>
    <w:rsid w:val="19FD67E3"/>
    <w:rsid w:val="1A09059A"/>
    <w:rsid w:val="1A147FD0"/>
    <w:rsid w:val="1A5328A6"/>
    <w:rsid w:val="1AAB098D"/>
    <w:rsid w:val="1AC9700C"/>
    <w:rsid w:val="1ACD2659"/>
    <w:rsid w:val="1AED2CFB"/>
    <w:rsid w:val="1AF80717"/>
    <w:rsid w:val="1BFA1DB8"/>
    <w:rsid w:val="1BFC6842"/>
    <w:rsid w:val="1C1D2D89"/>
    <w:rsid w:val="1C5841A4"/>
    <w:rsid w:val="1C5C7984"/>
    <w:rsid w:val="1C694516"/>
    <w:rsid w:val="1CB17D58"/>
    <w:rsid w:val="1CBF5A94"/>
    <w:rsid w:val="1CCB28E3"/>
    <w:rsid w:val="1CDF48C5"/>
    <w:rsid w:val="1CF27E11"/>
    <w:rsid w:val="1D097B94"/>
    <w:rsid w:val="1D2A5330"/>
    <w:rsid w:val="1D354041"/>
    <w:rsid w:val="1D550D3A"/>
    <w:rsid w:val="1D595437"/>
    <w:rsid w:val="1D64652E"/>
    <w:rsid w:val="1D6E092E"/>
    <w:rsid w:val="1D995D12"/>
    <w:rsid w:val="1DA33564"/>
    <w:rsid w:val="1DF0665E"/>
    <w:rsid w:val="1E043A82"/>
    <w:rsid w:val="1E103DEA"/>
    <w:rsid w:val="1E262080"/>
    <w:rsid w:val="1E334B99"/>
    <w:rsid w:val="1E4A3FC0"/>
    <w:rsid w:val="1E62130A"/>
    <w:rsid w:val="1E786D7F"/>
    <w:rsid w:val="1EA57449"/>
    <w:rsid w:val="1ECE699F"/>
    <w:rsid w:val="1ED31175"/>
    <w:rsid w:val="1EFA6781"/>
    <w:rsid w:val="1F301408"/>
    <w:rsid w:val="1F54468E"/>
    <w:rsid w:val="1F57195C"/>
    <w:rsid w:val="1F8801D0"/>
    <w:rsid w:val="1F8B1E49"/>
    <w:rsid w:val="1F980B70"/>
    <w:rsid w:val="1FA52FFD"/>
    <w:rsid w:val="200C40EC"/>
    <w:rsid w:val="204A5536"/>
    <w:rsid w:val="204D37B2"/>
    <w:rsid w:val="204F598F"/>
    <w:rsid w:val="20783067"/>
    <w:rsid w:val="20887022"/>
    <w:rsid w:val="208E27B4"/>
    <w:rsid w:val="20927A66"/>
    <w:rsid w:val="20A976C4"/>
    <w:rsid w:val="20E424AA"/>
    <w:rsid w:val="20EF5FB3"/>
    <w:rsid w:val="20FB243F"/>
    <w:rsid w:val="20FC3C98"/>
    <w:rsid w:val="21025026"/>
    <w:rsid w:val="2145255D"/>
    <w:rsid w:val="215B0293"/>
    <w:rsid w:val="216F5336"/>
    <w:rsid w:val="21BA1CD9"/>
    <w:rsid w:val="21C85928"/>
    <w:rsid w:val="22103A57"/>
    <w:rsid w:val="22105521"/>
    <w:rsid w:val="221E7C3E"/>
    <w:rsid w:val="22410A6B"/>
    <w:rsid w:val="2250053D"/>
    <w:rsid w:val="228850B7"/>
    <w:rsid w:val="228C2DF9"/>
    <w:rsid w:val="22A307DE"/>
    <w:rsid w:val="22A5210D"/>
    <w:rsid w:val="22AD4B1E"/>
    <w:rsid w:val="22B61599"/>
    <w:rsid w:val="22EC3898"/>
    <w:rsid w:val="22F8084A"/>
    <w:rsid w:val="230649AF"/>
    <w:rsid w:val="2318173A"/>
    <w:rsid w:val="23411E36"/>
    <w:rsid w:val="23531B69"/>
    <w:rsid w:val="235A6E12"/>
    <w:rsid w:val="235D6544"/>
    <w:rsid w:val="23765C4F"/>
    <w:rsid w:val="239904BE"/>
    <w:rsid w:val="23DC1B5F"/>
    <w:rsid w:val="24013373"/>
    <w:rsid w:val="241237D2"/>
    <w:rsid w:val="24294678"/>
    <w:rsid w:val="244B0D88"/>
    <w:rsid w:val="2481629E"/>
    <w:rsid w:val="24BB79C6"/>
    <w:rsid w:val="24D758E9"/>
    <w:rsid w:val="24DB5972"/>
    <w:rsid w:val="24EF141E"/>
    <w:rsid w:val="252918B4"/>
    <w:rsid w:val="25AE12D9"/>
    <w:rsid w:val="25BA1EF7"/>
    <w:rsid w:val="25BE0A1B"/>
    <w:rsid w:val="25CB59E7"/>
    <w:rsid w:val="25D16D75"/>
    <w:rsid w:val="26121868"/>
    <w:rsid w:val="2614119C"/>
    <w:rsid w:val="261B4569"/>
    <w:rsid w:val="26404627"/>
    <w:rsid w:val="266F2816"/>
    <w:rsid w:val="26802C75"/>
    <w:rsid w:val="26955FF5"/>
    <w:rsid w:val="26964247"/>
    <w:rsid w:val="269D2F44"/>
    <w:rsid w:val="269E42EC"/>
    <w:rsid w:val="26B62E36"/>
    <w:rsid w:val="26CA6564"/>
    <w:rsid w:val="26D25CAF"/>
    <w:rsid w:val="270F3FF9"/>
    <w:rsid w:val="2721452D"/>
    <w:rsid w:val="274F43F6"/>
    <w:rsid w:val="27787D8C"/>
    <w:rsid w:val="278E13C2"/>
    <w:rsid w:val="27A44741"/>
    <w:rsid w:val="27B8643F"/>
    <w:rsid w:val="27C546B8"/>
    <w:rsid w:val="27CB3B42"/>
    <w:rsid w:val="27D04C16"/>
    <w:rsid w:val="27D25752"/>
    <w:rsid w:val="283C7070"/>
    <w:rsid w:val="2852555A"/>
    <w:rsid w:val="2859082E"/>
    <w:rsid w:val="28740FA4"/>
    <w:rsid w:val="288B3B53"/>
    <w:rsid w:val="288B759B"/>
    <w:rsid w:val="28940C5A"/>
    <w:rsid w:val="28C72599"/>
    <w:rsid w:val="29231FDE"/>
    <w:rsid w:val="293715E5"/>
    <w:rsid w:val="29904CDE"/>
    <w:rsid w:val="299627B0"/>
    <w:rsid w:val="29AD26EE"/>
    <w:rsid w:val="29BD54A5"/>
    <w:rsid w:val="29D14042"/>
    <w:rsid w:val="29DD16BD"/>
    <w:rsid w:val="29E4176D"/>
    <w:rsid w:val="29F139CC"/>
    <w:rsid w:val="2A6A1C7B"/>
    <w:rsid w:val="2A7F20D4"/>
    <w:rsid w:val="2AB4113F"/>
    <w:rsid w:val="2ACC6141"/>
    <w:rsid w:val="2ACF7D27"/>
    <w:rsid w:val="2AD57308"/>
    <w:rsid w:val="2AE83EFB"/>
    <w:rsid w:val="2B033E75"/>
    <w:rsid w:val="2B0F45C8"/>
    <w:rsid w:val="2B395AE8"/>
    <w:rsid w:val="2B5E3351"/>
    <w:rsid w:val="2B710819"/>
    <w:rsid w:val="2B8C5C18"/>
    <w:rsid w:val="2B8F74B6"/>
    <w:rsid w:val="2C22213D"/>
    <w:rsid w:val="2C3D5164"/>
    <w:rsid w:val="2C477D91"/>
    <w:rsid w:val="2C820DC9"/>
    <w:rsid w:val="2C9A6113"/>
    <w:rsid w:val="2CBC382D"/>
    <w:rsid w:val="2CD77367"/>
    <w:rsid w:val="2CF4689F"/>
    <w:rsid w:val="2D0D32F0"/>
    <w:rsid w:val="2D12214D"/>
    <w:rsid w:val="2D2B320F"/>
    <w:rsid w:val="2D336CD0"/>
    <w:rsid w:val="2D483DC1"/>
    <w:rsid w:val="2D623A1D"/>
    <w:rsid w:val="2D6316A5"/>
    <w:rsid w:val="2DAA4072"/>
    <w:rsid w:val="2DAA682A"/>
    <w:rsid w:val="2DE85A95"/>
    <w:rsid w:val="2DEB484D"/>
    <w:rsid w:val="2E4B3B69"/>
    <w:rsid w:val="2E505623"/>
    <w:rsid w:val="2E7C4EA1"/>
    <w:rsid w:val="2E8E7EF9"/>
    <w:rsid w:val="2EB057CA"/>
    <w:rsid w:val="2EC27BA3"/>
    <w:rsid w:val="2EE115CA"/>
    <w:rsid w:val="2F14218A"/>
    <w:rsid w:val="2F236894"/>
    <w:rsid w:val="2F27380B"/>
    <w:rsid w:val="2F687BE0"/>
    <w:rsid w:val="2F6C2BE9"/>
    <w:rsid w:val="2F7013AD"/>
    <w:rsid w:val="2F8224FE"/>
    <w:rsid w:val="2F9C21A2"/>
    <w:rsid w:val="2F9E5F1A"/>
    <w:rsid w:val="2FA21EAE"/>
    <w:rsid w:val="2FF75B92"/>
    <w:rsid w:val="30393E95"/>
    <w:rsid w:val="305807BF"/>
    <w:rsid w:val="305B3E0B"/>
    <w:rsid w:val="308E6F01"/>
    <w:rsid w:val="30E87D95"/>
    <w:rsid w:val="30EE67A3"/>
    <w:rsid w:val="310821E5"/>
    <w:rsid w:val="310D534A"/>
    <w:rsid w:val="31197F4E"/>
    <w:rsid w:val="31386110"/>
    <w:rsid w:val="31462D0D"/>
    <w:rsid w:val="31466869"/>
    <w:rsid w:val="317E24A7"/>
    <w:rsid w:val="31A67308"/>
    <w:rsid w:val="31D54614"/>
    <w:rsid w:val="31DD4DAF"/>
    <w:rsid w:val="32096215"/>
    <w:rsid w:val="32360576"/>
    <w:rsid w:val="32430FFB"/>
    <w:rsid w:val="3276317E"/>
    <w:rsid w:val="32CA544D"/>
    <w:rsid w:val="32CD050A"/>
    <w:rsid w:val="32D6358B"/>
    <w:rsid w:val="32E02EED"/>
    <w:rsid w:val="32E12AF5"/>
    <w:rsid w:val="32E12CEE"/>
    <w:rsid w:val="32E63472"/>
    <w:rsid w:val="32FA790B"/>
    <w:rsid w:val="32FD11AA"/>
    <w:rsid w:val="32FF4F22"/>
    <w:rsid w:val="33397CD7"/>
    <w:rsid w:val="334A2D0A"/>
    <w:rsid w:val="336C5868"/>
    <w:rsid w:val="33F425AD"/>
    <w:rsid w:val="340071A3"/>
    <w:rsid w:val="340B21E3"/>
    <w:rsid w:val="34125933"/>
    <w:rsid w:val="34390907"/>
    <w:rsid w:val="344E1801"/>
    <w:rsid w:val="345D45F6"/>
    <w:rsid w:val="34763310"/>
    <w:rsid w:val="34797DBC"/>
    <w:rsid w:val="34936269"/>
    <w:rsid w:val="34D429BA"/>
    <w:rsid w:val="34E8264D"/>
    <w:rsid w:val="35094DA0"/>
    <w:rsid w:val="35326D7C"/>
    <w:rsid w:val="35651E51"/>
    <w:rsid w:val="357B7513"/>
    <w:rsid w:val="35916457"/>
    <w:rsid w:val="35BC6E57"/>
    <w:rsid w:val="35C80195"/>
    <w:rsid w:val="35FE383F"/>
    <w:rsid w:val="35FE7713"/>
    <w:rsid w:val="36022A8F"/>
    <w:rsid w:val="3605188D"/>
    <w:rsid w:val="36121410"/>
    <w:rsid w:val="36247EC1"/>
    <w:rsid w:val="36261FB6"/>
    <w:rsid w:val="36897924"/>
    <w:rsid w:val="369342FF"/>
    <w:rsid w:val="3696615B"/>
    <w:rsid w:val="36D20935"/>
    <w:rsid w:val="36DE0CBE"/>
    <w:rsid w:val="36E5185A"/>
    <w:rsid w:val="36F54FB9"/>
    <w:rsid w:val="37862DA8"/>
    <w:rsid w:val="378F7E7A"/>
    <w:rsid w:val="3791691B"/>
    <w:rsid w:val="37D236D5"/>
    <w:rsid w:val="37EF1A09"/>
    <w:rsid w:val="38174ABC"/>
    <w:rsid w:val="38431D54"/>
    <w:rsid w:val="38433B03"/>
    <w:rsid w:val="38463E09"/>
    <w:rsid w:val="38AB7857"/>
    <w:rsid w:val="38CB043A"/>
    <w:rsid w:val="38D8647F"/>
    <w:rsid w:val="392461B2"/>
    <w:rsid w:val="3934638C"/>
    <w:rsid w:val="393A4F06"/>
    <w:rsid w:val="394915ED"/>
    <w:rsid w:val="39535FC7"/>
    <w:rsid w:val="39811679"/>
    <w:rsid w:val="39B00E45"/>
    <w:rsid w:val="39B50A30"/>
    <w:rsid w:val="39C600D4"/>
    <w:rsid w:val="39E45F3B"/>
    <w:rsid w:val="39E82BB3"/>
    <w:rsid w:val="39F03816"/>
    <w:rsid w:val="3A257964"/>
    <w:rsid w:val="3A443B62"/>
    <w:rsid w:val="3A6D0300"/>
    <w:rsid w:val="3A7B11BC"/>
    <w:rsid w:val="3AC56A51"/>
    <w:rsid w:val="3ACF4465"/>
    <w:rsid w:val="3ADA46AD"/>
    <w:rsid w:val="3AE73656"/>
    <w:rsid w:val="3B253993"/>
    <w:rsid w:val="3B3A743F"/>
    <w:rsid w:val="3B4C3A10"/>
    <w:rsid w:val="3B6E533A"/>
    <w:rsid w:val="3B8763FC"/>
    <w:rsid w:val="3B9E639A"/>
    <w:rsid w:val="3BBC054A"/>
    <w:rsid w:val="3C0812EB"/>
    <w:rsid w:val="3C352F99"/>
    <w:rsid w:val="3C4340D1"/>
    <w:rsid w:val="3C9E39FD"/>
    <w:rsid w:val="3CFD6976"/>
    <w:rsid w:val="3D255ECD"/>
    <w:rsid w:val="3D401AE6"/>
    <w:rsid w:val="3D46616C"/>
    <w:rsid w:val="3D7204A8"/>
    <w:rsid w:val="3D927E21"/>
    <w:rsid w:val="3D9D1F07"/>
    <w:rsid w:val="3DBC4571"/>
    <w:rsid w:val="3DEB2C72"/>
    <w:rsid w:val="3E216694"/>
    <w:rsid w:val="3E226FEF"/>
    <w:rsid w:val="3E6447D3"/>
    <w:rsid w:val="3E6C6747"/>
    <w:rsid w:val="3E962967"/>
    <w:rsid w:val="3EB65544"/>
    <w:rsid w:val="3EC05EAD"/>
    <w:rsid w:val="3EDE7642"/>
    <w:rsid w:val="3EE33949"/>
    <w:rsid w:val="3EEA16B2"/>
    <w:rsid w:val="3EF36AD2"/>
    <w:rsid w:val="3F1A7DA4"/>
    <w:rsid w:val="3F6031EC"/>
    <w:rsid w:val="3F740A43"/>
    <w:rsid w:val="3F880EB5"/>
    <w:rsid w:val="3FC33BDC"/>
    <w:rsid w:val="3FC7326B"/>
    <w:rsid w:val="40073668"/>
    <w:rsid w:val="40251C1C"/>
    <w:rsid w:val="403E10C9"/>
    <w:rsid w:val="404971E7"/>
    <w:rsid w:val="404E2705"/>
    <w:rsid w:val="4051409F"/>
    <w:rsid w:val="407231D7"/>
    <w:rsid w:val="4078595D"/>
    <w:rsid w:val="40835A4C"/>
    <w:rsid w:val="4089393E"/>
    <w:rsid w:val="408B303C"/>
    <w:rsid w:val="40A64EA4"/>
    <w:rsid w:val="410121A8"/>
    <w:rsid w:val="410302D3"/>
    <w:rsid w:val="41171D45"/>
    <w:rsid w:val="417359C2"/>
    <w:rsid w:val="4182569C"/>
    <w:rsid w:val="418E12D2"/>
    <w:rsid w:val="41C77552"/>
    <w:rsid w:val="41D4211C"/>
    <w:rsid w:val="41DC43C1"/>
    <w:rsid w:val="41E73751"/>
    <w:rsid w:val="41E87386"/>
    <w:rsid w:val="42733236"/>
    <w:rsid w:val="42875A3C"/>
    <w:rsid w:val="42983B6B"/>
    <w:rsid w:val="42D74B7B"/>
    <w:rsid w:val="42F1578A"/>
    <w:rsid w:val="42F32908"/>
    <w:rsid w:val="43187C75"/>
    <w:rsid w:val="432664FB"/>
    <w:rsid w:val="434F0AED"/>
    <w:rsid w:val="4359242C"/>
    <w:rsid w:val="435A7F52"/>
    <w:rsid w:val="43604048"/>
    <w:rsid w:val="437454B8"/>
    <w:rsid w:val="439E20E8"/>
    <w:rsid w:val="43AA5176"/>
    <w:rsid w:val="43D80BB9"/>
    <w:rsid w:val="43E5779E"/>
    <w:rsid w:val="43EC32A0"/>
    <w:rsid w:val="440E3217"/>
    <w:rsid w:val="441234CC"/>
    <w:rsid w:val="44226CC2"/>
    <w:rsid w:val="44283E6B"/>
    <w:rsid w:val="442A29B6"/>
    <w:rsid w:val="44613C8E"/>
    <w:rsid w:val="447D29F0"/>
    <w:rsid w:val="449616D7"/>
    <w:rsid w:val="44A46D96"/>
    <w:rsid w:val="44E346A3"/>
    <w:rsid w:val="451231DA"/>
    <w:rsid w:val="453847CB"/>
    <w:rsid w:val="453A7E17"/>
    <w:rsid w:val="454B2248"/>
    <w:rsid w:val="455022B9"/>
    <w:rsid w:val="456A458C"/>
    <w:rsid w:val="45721D8E"/>
    <w:rsid w:val="458E5BBD"/>
    <w:rsid w:val="459638F1"/>
    <w:rsid w:val="45AA1EBB"/>
    <w:rsid w:val="46184820"/>
    <w:rsid w:val="46435FB5"/>
    <w:rsid w:val="4665558C"/>
    <w:rsid w:val="466D7310"/>
    <w:rsid w:val="467035DA"/>
    <w:rsid w:val="46713F31"/>
    <w:rsid w:val="46873754"/>
    <w:rsid w:val="4734568A"/>
    <w:rsid w:val="475E44B5"/>
    <w:rsid w:val="47706DA3"/>
    <w:rsid w:val="47753706"/>
    <w:rsid w:val="47B71E17"/>
    <w:rsid w:val="48853CC3"/>
    <w:rsid w:val="48A26623"/>
    <w:rsid w:val="48B02CE7"/>
    <w:rsid w:val="48D01B17"/>
    <w:rsid w:val="48D32C81"/>
    <w:rsid w:val="48DC7D87"/>
    <w:rsid w:val="490A5016"/>
    <w:rsid w:val="490D6757"/>
    <w:rsid w:val="49121423"/>
    <w:rsid w:val="492E674B"/>
    <w:rsid w:val="4934674B"/>
    <w:rsid w:val="49354F1E"/>
    <w:rsid w:val="4964330A"/>
    <w:rsid w:val="49755AE6"/>
    <w:rsid w:val="498B7A28"/>
    <w:rsid w:val="49A168DB"/>
    <w:rsid w:val="49A308A5"/>
    <w:rsid w:val="49B334D9"/>
    <w:rsid w:val="49E62BD3"/>
    <w:rsid w:val="49FB5CE0"/>
    <w:rsid w:val="4A0C644A"/>
    <w:rsid w:val="4A3270E8"/>
    <w:rsid w:val="4A6E5FA5"/>
    <w:rsid w:val="4A8F4A99"/>
    <w:rsid w:val="4A9B77CE"/>
    <w:rsid w:val="4A9E00D5"/>
    <w:rsid w:val="4AB34B18"/>
    <w:rsid w:val="4AB93A8D"/>
    <w:rsid w:val="4ABD42D1"/>
    <w:rsid w:val="4ACD51FF"/>
    <w:rsid w:val="4AF56EDE"/>
    <w:rsid w:val="4B053782"/>
    <w:rsid w:val="4B105AC6"/>
    <w:rsid w:val="4B297931"/>
    <w:rsid w:val="4B6526C4"/>
    <w:rsid w:val="4B7C315C"/>
    <w:rsid w:val="4B8B7843"/>
    <w:rsid w:val="4BA13413"/>
    <w:rsid w:val="4BCD7E5B"/>
    <w:rsid w:val="4BE233FC"/>
    <w:rsid w:val="4BED4059"/>
    <w:rsid w:val="4BFB6776"/>
    <w:rsid w:val="4C0704BB"/>
    <w:rsid w:val="4C107D48"/>
    <w:rsid w:val="4C3F175B"/>
    <w:rsid w:val="4C583BC9"/>
    <w:rsid w:val="4C6302F7"/>
    <w:rsid w:val="4CBD3A2C"/>
    <w:rsid w:val="4CFF7819"/>
    <w:rsid w:val="4D135D42"/>
    <w:rsid w:val="4D231D19"/>
    <w:rsid w:val="4D2361E7"/>
    <w:rsid w:val="4D2717ED"/>
    <w:rsid w:val="4D2A15EB"/>
    <w:rsid w:val="4D31090B"/>
    <w:rsid w:val="4D5D3C89"/>
    <w:rsid w:val="4D6E2F78"/>
    <w:rsid w:val="4D8F65FE"/>
    <w:rsid w:val="4D994CEB"/>
    <w:rsid w:val="4DE65204"/>
    <w:rsid w:val="4E516B22"/>
    <w:rsid w:val="4E70230B"/>
    <w:rsid w:val="4E8D0C97"/>
    <w:rsid w:val="4E8D38D2"/>
    <w:rsid w:val="4ECE4CE9"/>
    <w:rsid w:val="4ED924DD"/>
    <w:rsid w:val="4EE20286"/>
    <w:rsid w:val="4EEC684A"/>
    <w:rsid w:val="4EFC4038"/>
    <w:rsid w:val="4F0F104F"/>
    <w:rsid w:val="4F132029"/>
    <w:rsid w:val="4F3E294A"/>
    <w:rsid w:val="4F484C84"/>
    <w:rsid w:val="4F563CC4"/>
    <w:rsid w:val="4F62696B"/>
    <w:rsid w:val="4F680661"/>
    <w:rsid w:val="4FA41120"/>
    <w:rsid w:val="4FDC2248"/>
    <w:rsid w:val="4FE01A9A"/>
    <w:rsid w:val="4FF637B0"/>
    <w:rsid w:val="50243DC2"/>
    <w:rsid w:val="503948A2"/>
    <w:rsid w:val="50483319"/>
    <w:rsid w:val="5080549C"/>
    <w:rsid w:val="50811A0B"/>
    <w:rsid w:val="50A62A29"/>
    <w:rsid w:val="50C02251"/>
    <w:rsid w:val="50ED43FA"/>
    <w:rsid w:val="511762F6"/>
    <w:rsid w:val="51280F31"/>
    <w:rsid w:val="513D4E96"/>
    <w:rsid w:val="515F5058"/>
    <w:rsid w:val="519B6306"/>
    <w:rsid w:val="51C94C21"/>
    <w:rsid w:val="51CA64E6"/>
    <w:rsid w:val="51D80379"/>
    <w:rsid w:val="51E91272"/>
    <w:rsid w:val="52102850"/>
    <w:rsid w:val="52285DEB"/>
    <w:rsid w:val="52522E68"/>
    <w:rsid w:val="525A3F56"/>
    <w:rsid w:val="528D5C4E"/>
    <w:rsid w:val="52AD009F"/>
    <w:rsid w:val="52AF3E17"/>
    <w:rsid w:val="52B70F1D"/>
    <w:rsid w:val="52EF6909"/>
    <w:rsid w:val="52FD1385"/>
    <w:rsid w:val="53057EDB"/>
    <w:rsid w:val="530C3017"/>
    <w:rsid w:val="531B45E5"/>
    <w:rsid w:val="53247392"/>
    <w:rsid w:val="53285653"/>
    <w:rsid w:val="53964FD7"/>
    <w:rsid w:val="53B14FD8"/>
    <w:rsid w:val="53CB2ED2"/>
    <w:rsid w:val="53D02297"/>
    <w:rsid w:val="53D94CD1"/>
    <w:rsid w:val="53E72475"/>
    <w:rsid w:val="53E744E4"/>
    <w:rsid w:val="53EA0824"/>
    <w:rsid w:val="53EE4E13"/>
    <w:rsid w:val="53F52DF6"/>
    <w:rsid w:val="544669FD"/>
    <w:rsid w:val="54990207"/>
    <w:rsid w:val="54C85664"/>
    <w:rsid w:val="54FE1085"/>
    <w:rsid w:val="550C1518"/>
    <w:rsid w:val="552F56E3"/>
    <w:rsid w:val="5583158B"/>
    <w:rsid w:val="55976312"/>
    <w:rsid w:val="559C1FDF"/>
    <w:rsid w:val="55DA564E"/>
    <w:rsid w:val="55DB4F23"/>
    <w:rsid w:val="55E464CD"/>
    <w:rsid w:val="55EE4C56"/>
    <w:rsid w:val="561A7AC8"/>
    <w:rsid w:val="56251511"/>
    <w:rsid w:val="564156CE"/>
    <w:rsid w:val="568D446F"/>
    <w:rsid w:val="569B2706"/>
    <w:rsid w:val="569E667C"/>
    <w:rsid w:val="56A91A2B"/>
    <w:rsid w:val="56B04601"/>
    <w:rsid w:val="56F93036"/>
    <w:rsid w:val="57000E11"/>
    <w:rsid w:val="57347EE4"/>
    <w:rsid w:val="576D24F2"/>
    <w:rsid w:val="57A21831"/>
    <w:rsid w:val="5821614A"/>
    <w:rsid w:val="5829466B"/>
    <w:rsid w:val="582F1556"/>
    <w:rsid w:val="58397339"/>
    <w:rsid w:val="585070F0"/>
    <w:rsid w:val="586E6522"/>
    <w:rsid w:val="587408DB"/>
    <w:rsid w:val="58B73A25"/>
    <w:rsid w:val="58E10AA2"/>
    <w:rsid w:val="58E660B8"/>
    <w:rsid w:val="590A1DA2"/>
    <w:rsid w:val="59132E8B"/>
    <w:rsid w:val="591D19ED"/>
    <w:rsid w:val="59376914"/>
    <w:rsid w:val="59607B86"/>
    <w:rsid w:val="598658DE"/>
    <w:rsid w:val="59B27B6C"/>
    <w:rsid w:val="59D9123B"/>
    <w:rsid w:val="59F45AD3"/>
    <w:rsid w:val="5A0C5EAD"/>
    <w:rsid w:val="5A2C38CD"/>
    <w:rsid w:val="5A4B0E6C"/>
    <w:rsid w:val="5A504131"/>
    <w:rsid w:val="5A8B1163"/>
    <w:rsid w:val="5AB10345"/>
    <w:rsid w:val="5ADF6D56"/>
    <w:rsid w:val="5B012003"/>
    <w:rsid w:val="5B044F1C"/>
    <w:rsid w:val="5B075FF0"/>
    <w:rsid w:val="5B231846"/>
    <w:rsid w:val="5B4C7CBC"/>
    <w:rsid w:val="5B8B5CD7"/>
    <w:rsid w:val="5BAC183B"/>
    <w:rsid w:val="5BDA39D2"/>
    <w:rsid w:val="5BDF4403"/>
    <w:rsid w:val="5BE5231D"/>
    <w:rsid w:val="5C1E3DBB"/>
    <w:rsid w:val="5C33182A"/>
    <w:rsid w:val="5C563555"/>
    <w:rsid w:val="5C5D1DEC"/>
    <w:rsid w:val="5C735EB5"/>
    <w:rsid w:val="5C741C2D"/>
    <w:rsid w:val="5C7834CB"/>
    <w:rsid w:val="5CB1106C"/>
    <w:rsid w:val="5CDC1CAC"/>
    <w:rsid w:val="5CF97088"/>
    <w:rsid w:val="5D255B47"/>
    <w:rsid w:val="5D467A6D"/>
    <w:rsid w:val="5D6557D6"/>
    <w:rsid w:val="5D7E7207"/>
    <w:rsid w:val="5DC664B8"/>
    <w:rsid w:val="5E1C51EC"/>
    <w:rsid w:val="5E6F4DA2"/>
    <w:rsid w:val="5E6F73B4"/>
    <w:rsid w:val="5E8E6FD6"/>
    <w:rsid w:val="5E8F2D4E"/>
    <w:rsid w:val="5EA52572"/>
    <w:rsid w:val="5EAD7357"/>
    <w:rsid w:val="5F2E35DE"/>
    <w:rsid w:val="5F59202A"/>
    <w:rsid w:val="5F645F89"/>
    <w:rsid w:val="5F775CBC"/>
    <w:rsid w:val="5F7D2D1F"/>
    <w:rsid w:val="5F860A3E"/>
    <w:rsid w:val="5FAC6B3A"/>
    <w:rsid w:val="5FCD1D80"/>
    <w:rsid w:val="5FCD3B2E"/>
    <w:rsid w:val="5FD94129"/>
    <w:rsid w:val="5FEF619A"/>
    <w:rsid w:val="6021749E"/>
    <w:rsid w:val="604B4215"/>
    <w:rsid w:val="605E0C2A"/>
    <w:rsid w:val="60601BE2"/>
    <w:rsid w:val="607B7A2E"/>
    <w:rsid w:val="60842D13"/>
    <w:rsid w:val="60996106"/>
    <w:rsid w:val="60A76A75"/>
    <w:rsid w:val="60E07891"/>
    <w:rsid w:val="61196FA7"/>
    <w:rsid w:val="61330309"/>
    <w:rsid w:val="613320B7"/>
    <w:rsid w:val="61442516"/>
    <w:rsid w:val="618B5A4F"/>
    <w:rsid w:val="61A40EBB"/>
    <w:rsid w:val="61D60F69"/>
    <w:rsid w:val="61DC2F30"/>
    <w:rsid w:val="627E55B4"/>
    <w:rsid w:val="6280757E"/>
    <w:rsid w:val="628C19C6"/>
    <w:rsid w:val="62993AB4"/>
    <w:rsid w:val="62BC1320"/>
    <w:rsid w:val="62C03E1E"/>
    <w:rsid w:val="62CD2007"/>
    <w:rsid w:val="62E56756"/>
    <w:rsid w:val="62F46470"/>
    <w:rsid w:val="63011236"/>
    <w:rsid w:val="63065CD5"/>
    <w:rsid w:val="63186E3E"/>
    <w:rsid w:val="631B72A6"/>
    <w:rsid w:val="632779F9"/>
    <w:rsid w:val="6343777A"/>
    <w:rsid w:val="635F4D56"/>
    <w:rsid w:val="637864A7"/>
    <w:rsid w:val="637F5A87"/>
    <w:rsid w:val="63915440"/>
    <w:rsid w:val="63A66B70"/>
    <w:rsid w:val="63AF7653"/>
    <w:rsid w:val="63B3128D"/>
    <w:rsid w:val="63C527FF"/>
    <w:rsid w:val="63C72CC3"/>
    <w:rsid w:val="63D95197"/>
    <w:rsid w:val="63EA73A4"/>
    <w:rsid w:val="63EB7642"/>
    <w:rsid w:val="63EC41D9"/>
    <w:rsid w:val="63F6438F"/>
    <w:rsid w:val="64013D3F"/>
    <w:rsid w:val="64047E05"/>
    <w:rsid w:val="641060B0"/>
    <w:rsid w:val="645D716B"/>
    <w:rsid w:val="646C78E0"/>
    <w:rsid w:val="64C87ABA"/>
    <w:rsid w:val="64CC0566"/>
    <w:rsid w:val="64EA177C"/>
    <w:rsid w:val="64EF4547"/>
    <w:rsid w:val="65072503"/>
    <w:rsid w:val="652510D5"/>
    <w:rsid w:val="65303115"/>
    <w:rsid w:val="65605444"/>
    <w:rsid w:val="65717ADA"/>
    <w:rsid w:val="658D6813"/>
    <w:rsid w:val="659A2704"/>
    <w:rsid w:val="65A94671"/>
    <w:rsid w:val="65DC0F6F"/>
    <w:rsid w:val="65DD7FD5"/>
    <w:rsid w:val="65E4053A"/>
    <w:rsid w:val="65EB75BC"/>
    <w:rsid w:val="66060AFD"/>
    <w:rsid w:val="663A1DA5"/>
    <w:rsid w:val="66402A46"/>
    <w:rsid w:val="66651C6A"/>
    <w:rsid w:val="668773B3"/>
    <w:rsid w:val="668D04BB"/>
    <w:rsid w:val="66B53409"/>
    <w:rsid w:val="66CA3A8A"/>
    <w:rsid w:val="66D4649F"/>
    <w:rsid w:val="66F43B85"/>
    <w:rsid w:val="66FB71D3"/>
    <w:rsid w:val="66FD78B1"/>
    <w:rsid w:val="67513947"/>
    <w:rsid w:val="67584625"/>
    <w:rsid w:val="67834CC6"/>
    <w:rsid w:val="67D55C76"/>
    <w:rsid w:val="67D804A4"/>
    <w:rsid w:val="67DA14DE"/>
    <w:rsid w:val="67DF6AF4"/>
    <w:rsid w:val="682B7F8C"/>
    <w:rsid w:val="682D20ED"/>
    <w:rsid w:val="683F7593"/>
    <w:rsid w:val="68556DB7"/>
    <w:rsid w:val="68751207"/>
    <w:rsid w:val="68786D2B"/>
    <w:rsid w:val="688C57EA"/>
    <w:rsid w:val="68AE0231"/>
    <w:rsid w:val="68B55291"/>
    <w:rsid w:val="69364D13"/>
    <w:rsid w:val="693B562E"/>
    <w:rsid w:val="694C01BA"/>
    <w:rsid w:val="69644DBE"/>
    <w:rsid w:val="69B63885"/>
    <w:rsid w:val="69C02956"/>
    <w:rsid w:val="69DA3A17"/>
    <w:rsid w:val="69EB1780"/>
    <w:rsid w:val="6A6D488B"/>
    <w:rsid w:val="6A730503"/>
    <w:rsid w:val="6AA87672"/>
    <w:rsid w:val="6AAF7D7E"/>
    <w:rsid w:val="6ACD0751"/>
    <w:rsid w:val="6AFE3735"/>
    <w:rsid w:val="6B2807B2"/>
    <w:rsid w:val="6B39651C"/>
    <w:rsid w:val="6B481F77"/>
    <w:rsid w:val="6B6F63E1"/>
    <w:rsid w:val="6B9A2DB2"/>
    <w:rsid w:val="6BA20565"/>
    <w:rsid w:val="6BA75B7B"/>
    <w:rsid w:val="6BD92CE6"/>
    <w:rsid w:val="6C0438E3"/>
    <w:rsid w:val="6C094140"/>
    <w:rsid w:val="6C172D01"/>
    <w:rsid w:val="6C4344FA"/>
    <w:rsid w:val="6C5E01AA"/>
    <w:rsid w:val="6C6173C5"/>
    <w:rsid w:val="6C6677E4"/>
    <w:rsid w:val="6C8E5A09"/>
    <w:rsid w:val="6CBC5656"/>
    <w:rsid w:val="6CF0537F"/>
    <w:rsid w:val="6D035033"/>
    <w:rsid w:val="6D231045"/>
    <w:rsid w:val="6D6535F8"/>
    <w:rsid w:val="6D77157D"/>
    <w:rsid w:val="6D7E290C"/>
    <w:rsid w:val="6DC81DD9"/>
    <w:rsid w:val="6DCC3677"/>
    <w:rsid w:val="6DD54C21"/>
    <w:rsid w:val="6DE02BCC"/>
    <w:rsid w:val="6DE9247B"/>
    <w:rsid w:val="6DFD1A82"/>
    <w:rsid w:val="6E0B7C66"/>
    <w:rsid w:val="6E4208D8"/>
    <w:rsid w:val="6E9028F6"/>
    <w:rsid w:val="6E97538C"/>
    <w:rsid w:val="6EA16939"/>
    <w:rsid w:val="6EDA01B0"/>
    <w:rsid w:val="6EDA2D13"/>
    <w:rsid w:val="6EE3336E"/>
    <w:rsid w:val="6F283FE3"/>
    <w:rsid w:val="6FAA5C3A"/>
    <w:rsid w:val="6FAC63AA"/>
    <w:rsid w:val="6FAD3194"/>
    <w:rsid w:val="6FBE0D84"/>
    <w:rsid w:val="6FDE6FB8"/>
    <w:rsid w:val="6FF45107"/>
    <w:rsid w:val="6FFF5619"/>
    <w:rsid w:val="701A3F8E"/>
    <w:rsid w:val="70511377"/>
    <w:rsid w:val="706912E6"/>
    <w:rsid w:val="707F71B2"/>
    <w:rsid w:val="70952446"/>
    <w:rsid w:val="709E0C08"/>
    <w:rsid w:val="70AB1C6A"/>
    <w:rsid w:val="70DD5603"/>
    <w:rsid w:val="70F45A77"/>
    <w:rsid w:val="711523CD"/>
    <w:rsid w:val="71477351"/>
    <w:rsid w:val="71523D65"/>
    <w:rsid w:val="716B31A7"/>
    <w:rsid w:val="71722787"/>
    <w:rsid w:val="71724535"/>
    <w:rsid w:val="718662BF"/>
    <w:rsid w:val="71934AC6"/>
    <w:rsid w:val="71AA1F21"/>
    <w:rsid w:val="71C228AA"/>
    <w:rsid w:val="71DC495C"/>
    <w:rsid w:val="71FA5D16"/>
    <w:rsid w:val="720B64A4"/>
    <w:rsid w:val="72451C4A"/>
    <w:rsid w:val="724814CD"/>
    <w:rsid w:val="724F0D1A"/>
    <w:rsid w:val="72850298"/>
    <w:rsid w:val="729624A5"/>
    <w:rsid w:val="72AD7925"/>
    <w:rsid w:val="72C76B03"/>
    <w:rsid w:val="72D66D46"/>
    <w:rsid w:val="72DC25AE"/>
    <w:rsid w:val="72ED3812"/>
    <w:rsid w:val="7318735E"/>
    <w:rsid w:val="734463A5"/>
    <w:rsid w:val="738467A2"/>
    <w:rsid w:val="738F7621"/>
    <w:rsid w:val="73B777A0"/>
    <w:rsid w:val="73BA34EB"/>
    <w:rsid w:val="73C32909"/>
    <w:rsid w:val="73D36F85"/>
    <w:rsid w:val="73D81495"/>
    <w:rsid w:val="74106478"/>
    <w:rsid w:val="74123DAE"/>
    <w:rsid w:val="745D771F"/>
    <w:rsid w:val="746F0968"/>
    <w:rsid w:val="74962C31"/>
    <w:rsid w:val="74986943"/>
    <w:rsid w:val="74E4574A"/>
    <w:rsid w:val="74F1077C"/>
    <w:rsid w:val="74FD0E26"/>
    <w:rsid w:val="751F2717"/>
    <w:rsid w:val="75497CA3"/>
    <w:rsid w:val="754E52B9"/>
    <w:rsid w:val="7583650A"/>
    <w:rsid w:val="758A5CA9"/>
    <w:rsid w:val="75A91F97"/>
    <w:rsid w:val="75DA6DF8"/>
    <w:rsid w:val="76257DC8"/>
    <w:rsid w:val="763B7CB7"/>
    <w:rsid w:val="76424E1E"/>
    <w:rsid w:val="76487F5B"/>
    <w:rsid w:val="766A4E04"/>
    <w:rsid w:val="768D3B94"/>
    <w:rsid w:val="76AE0440"/>
    <w:rsid w:val="76DF266D"/>
    <w:rsid w:val="771D3886"/>
    <w:rsid w:val="771F0CBB"/>
    <w:rsid w:val="774124AE"/>
    <w:rsid w:val="77472401"/>
    <w:rsid w:val="77543075"/>
    <w:rsid w:val="77550B81"/>
    <w:rsid w:val="77583EFF"/>
    <w:rsid w:val="77637680"/>
    <w:rsid w:val="779F004E"/>
    <w:rsid w:val="77C80A49"/>
    <w:rsid w:val="77C83101"/>
    <w:rsid w:val="77CD0717"/>
    <w:rsid w:val="77D03948"/>
    <w:rsid w:val="77F75794"/>
    <w:rsid w:val="77FE4D75"/>
    <w:rsid w:val="781644B1"/>
    <w:rsid w:val="784F3822"/>
    <w:rsid w:val="78540C02"/>
    <w:rsid w:val="78544995"/>
    <w:rsid w:val="78554934"/>
    <w:rsid w:val="78AF606F"/>
    <w:rsid w:val="790B36B2"/>
    <w:rsid w:val="792466A0"/>
    <w:rsid w:val="79293FD0"/>
    <w:rsid w:val="79507852"/>
    <w:rsid w:val="797057FE"/>
    <w:rsid w:val="798A2F7E"/>
    <w:rsid w:val="79BE0FEA"/>
    <w:rsid w:val="79C7724A"/>
    <w:rsid w:val="79D02741"/>
    <w:rsid w:val="79E96E28"/>
    <w:rsid w:val="7A031436"/>
    <w:rsid w:val="7A0841EB"/>
    <w:rsid w:val="7A354C08"/>
    <w:rsid w:val="7A676AB5"/>
    <w:rsid w:val="7A7A6823"/>
    <w:rsid w:val="7AAA2F92"/>
    <w:rsid w:val="7ABD0F17"/>
    <w:rsid w:val="7AC53928"/>
    <w:rsid w:val="7B1F6E1E"/>
    <w:rsid w:val="7B437572"/>
    <w:rsid w:val="7B4969D9"/>
    <w:rsid w:val="7B6A6451"/>
    <w:rsid w:val="7B8E6410"/>
    <w:rsid w:val="7B9C2699"/>
    <w:rsid w:val="7BB141BB"/>
    <w:rsid w:val="7BC31687"/>
    <w:rsid w:val="7BC9569A"/>
    <w:rsid w:val="7BD227A0"/>
    <w:rsid w:val="7BF279A4"/>
    <w:rsid w:val="7C171361"/>
    <w:rsid w:val="7C464467"/>
    <w:rsid w:val="7C916AAC"/>
    <w:rsid w:val="7C95557C"/>
    <w:rsid w:val="7C9F3277"/>
    <w:rsid w:val="7CCA4F56"/>
    <w:rsid w:val="7CD57847"/>
    <w:rsid w:val="7CD63F03"/>
    <w:rsid w:val="7CD75B94"/>
    <w:rsid w:val="7CEF2EDE"/>
    <w:rsid w:val="7CF32B84"/>
    <w:rsid w:val="7D056BA5"/>
    <w:rsid w:val="7D2C1E11"/>
    <w:rsid w:val="7D4F2336"/>
    <w:rsid w:val="7D70777B"/>
    <w:rsid w:val="7D8372A1"/>
    <w:rsid w:val="7D88208A"/>
    <w:rsid w:val="7D9B3066"/>
    <w:rsid w:val="7DA41F1A"/>
    <w:rsid w:val="7DD37A4D"/>
    <w:rsid w:val="7DD85C7A"/>
    <w:rsid w:val="7DD86484"/>
    <w:rsid w:val="7DDA593C"/>
    <w:rsid w:val="7E2A039A"/>
    <w:rsid w:val="7E4A3863"/>
    <w:rsid w:val="7E730127"/>
    <w:rsid w:val="7E9439E9"/>
    <w:rsid w:val="7E9A50CB"/>
    <w:rsid w:val="7E9E4BBC"/>
    <w:rsid w:val="7EAA17B2"/>
    <w:rsid w:val="7EB663A9"/>
    <w:rsid w:val="7EBA4351"/>
    <w:rsid w:val="7EEC1DCB"/>
    <w:rsid w:val="7F2B60C2"/>
    <w:rsid w:val="7F2C41DC"/>
    <w:rsid w:val="7F495B5C"/>
    <w:rsid w:val="7F4D0390"/>
    <w:rsid w:val="7F594F87"/>
    <w:rsid w:val="7F7973D7"/>
    <w:rsid w:val="7FA6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45"/>
    <w:qFormat/>
    <w:uiPriority w:val="0"/>
    <w:pPr>
      <w:keepNext/>
      <w:keepLines/>
      <w:spacing w:before="340" w:after="330" w:line="576" w:lineRule="auto"/>
      <w:outlineLvl w:val="0"/>
    </w:pPr>
    <w:rPr>
      <w:b/>
      <w:kern w:val="44"/>
      <w:sz w:val="44"/>
      <w:szCs w:val="20"/>
    </w:rPr>
  </w:style>
  <w:style w:type="paragraph" w:styleId="4">
    <w:name w:val="heading 2"/>
    <w:basedOn w:val="1"/>
    <w:next w:val="1"/>
    <w:link w:val="46"/>
    <w:qFormat/>
    <w:uiPriority w:val="0"/>
    <w:pPr>
      <w:keepNext/>
      <w:keepLines/>
      <w:tabs>
        <w:tab w:val="left" w:pos="720"/>
      </w:tabs>
      <w:jc w:val="center"/>
      <w:outlineLvl w:val="1"/>
    </w:pPr>
    <w:rPr>
      <w:rFonts w:ascii="Arial" w:hAnsi="Arial" w:eastAsia="Microsoft YaHei UI"/>
      <w:b/>
      <w:bCs/>
      <w:kern w:val="0"/>
      <w:sz w:val="32"/>
      <w:szCs w:val="32"/>
    </w:rPr>
  </w:style>
  <w:style w:type="paragraph" w:styleId="5">
    <w:name w:val="heading 3"/>
    <w:basedOn w:val="1"/>
    <w:next w:val="1"/>
    <w:link w:val="47"/>
    <w:qFormat/>
    <w:uiPriority w:val="0"/>
    <w:pPr>
      <w:keepNext/>
      <w:keepLines/>
      <w:spacing w:before="260" w:after="260" w:line="416" w:lineRule="auto"/>
      <w:outlineLvl w:val="2"/>
    </w:pPr>
    <w:rPr>
      <w:rFonts w:ascii="Calibri" w:hAnsi="Calibri"/>
      <w:b/>
      <w:bCs/>
      <w:kern w:val="0"/>
      <w:sz w:val="32"/>
      <w:szCs w:val="32"/>
    </w:rPr>
  </w:style>
  <w:style w:type="paragraph" w:styleId="6">
    <w:name w:val="heading 4"/>
    <w:basedOn w:val="1"/>
    <w:next w:val="1"/>
    <w:link w:val="48"/>
    <w:qFormat/>
    <w:uiPriority w:val="0"/>
    <w:pPr>
      <w:keepNext/>
      <w:keepLines/>
      <w:widowControl/>
      <w:tabs>
        <w:tab w:val="left" w:pos="864"/>
      </w:tabs>
      <w:spacing w:before="120" w:after="180"/>
      <w:outlineLvl w:val="3"/>
    </w:pPr>
    <w:rPr>
      <w:rFonts w:ascii="Times New Roman Bold" w:hAnsi="Times New Roman Bold"/>
      <w:b/>
      <w:kern w:val="0"/>
      <w:sz w:val="24"/>
      <w:szCs w:val="20"/>
      <w:lang w:val="en-GB" w:eastAsia="en-US"/>
    </w:rPr>
  </w:style>
  <w:style w:type="paragraph" w:styleId="7">
    <w:name w:val="heading 5"/>
    <w:basedOn w:val="1"/>
    <w:next w:val="1"/>
    <w:link w:val="49"/>
    <w:qFormat/>
    <w:uiPriority w:val="0"/>
    <w:pPr>
      <w:keepNext/>
      <w:tabs>
        <w:tab w:val="left" w:pos="1008"/>
      </w:tabs>
      <w:spacing w:line="360" w:lineRule="auto"/>
      <w:ind w:firstLine="200" w:firstLineChars="200"/>
      <w:outlineLvl w:val="4"/>
    </w:pPr>
    <w:rPr>
      <w:rFonts w:ascii="Arial" w:hAnsi="Arial"/>
      <w:b/>
      <w:bCs/>
      <w:iCs/>
      <w:kern w:val="0"/>
      <w:sz w:val="20"/>
      <w:szCs w:val="21"/>
    </w:rPr>
  </w:style>
  <w:style w:type="character" w:default="1" w:styleId="38">
    <w:name w:val="Default Paragraph Font"/>
    <w:semiHidden/>
    <w:unhideWhenUsed/>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8">
    <w:name w:val="Normal Indent"/>
    <w:basedOn w:val="1"/>
    <w:link w:val="50"/>
    <w:qFormat/>
    <w:uiPriority w:val="99"/>
    <w:pPr>
      <w:ind w:firstLine="420" w:firstLineChars="200"/>
    </w:pPr>
    <w:rPr>
      <w:kern w:val="0"/>
      <w:sz w:val="20"/>
      <w:szCs w:val="24"/>
    </w:rPr>
  </w:style>
  <w:style w:type="paragraph" w:styleId="9">
    <w:name w:val="Document Map"/>
    <w:basedOn w:val="1"/>
    <w:link w:val="51"/>
    <w:semiHidden/>
    <w:qFormat/>
    <w:uiPriority w:val="0"/>
    <w:pPr>
      <w:shd w:val="clear" w:color="auto" w:fill="000080"/>
    </w:pPr>
    <w:rPr>
      <w:rFonts w:ascii="Calibri" w:hAnsi="Calibri"/>
      <w:kern w:val="0"/>
      <w:sz w:val="20"/>
      <w:szCs w:val="20"/>
    </w:rPr>
  </w:style>
  <w:style w:type="paragraph" w:styleId="10">
    <w:name w:val="annotation text"/>
    <w:basedOn w:val="1"/>
    <w:link w:val="52"/>
    <w:qFormat/>
    <w:uiPriority w:val="0"/>
    <w:pPr>
      <w:jc w:val="left"/>
    </w:pPr>
    <w:rPr>
      <w:kern w:val="0"/>
      <w:sz w:val="20"/>
      <w:szCs w:val="20"/>
    </w:rPr>
  </w:style>
  <w:style w:type="paragraph" w:styleId="11">
    <w:name w:val="Body Text 3"/>
    <w:basedOn w:val="1"/>
    <w:link w:val="53"/>
    <w:qFormat/>
    <w:uiPriority w:val="0"/>
    <w:pPr>
      <w:spacing w:after="120"/>
    </w:pPr>
    <w:rPr>
      <w:rFonts w:ascii="Calibri" w:hAnsi="Calibri"/>
      <w:kern w:val="0"/>
      <w:sz w:val="16"/>
      <w:szCs w:val="16"/>
    </w:rPr>
  </w:style>
  <w:style w:type="paragraph" w:styleId="12">
    <w:name w:val="Body Text"/>
    <w:basedOn w:val="1"/>
    <w:next w:val="1"/>
    <w:link w:val="54"/>
    <w:qFormat/>
    <w:uiPriority w:val="0"/>
    <w:pPr>
      <w:spacing w:after="120"/>
    </w:pPr>
    <w:rPr>
      <w:rFonts w:ascii="Calibri" w:hAnsi="Calibri"/>
      <w:kern w:val="0"/>
      <w:sz w:val="20"/>
      <w:szCs w:val="20"/>
    </w:rPr>
  </w:style>
  <w:style w:type="paragraph" w:styleId="13">
    <w:name w:val="Body Text Indent"/>
    <w:basedOn w:val="1"/>
    <w:next w:val="14"/>
    <w:link w:val="55"/>
    <w:qFormat/>
    <w:uiPriority w:val="99"/>
    <w:pPr>
      <w:tabs>
        <w:tab w:val="left" w:pos="567"/>
      </w:tabs>
      <w:spacing w:line="360" w:lineRule="auto"/>
      <w:ind w:left="420" w:leftChars="200"/>
    </w:pPr>
    <w:rPr>
      <w:kern w:val="0"/>
      <w:sz w:val="20"/>
      <w:szCs w:val="21"/>
    </w:rPr>
  </w:style>
  <w:style w:type="paragraph" w:styleId="14">
    <w:name w:val="envelope return"/>
    <w:basedOn w:val="1"/>
    <w:qFormat/>
    <w:uiPriority w:val="0"/>
    <w:pPr>
      <w:snapToGrid w:val="0"/>
    </w:pPr>
    <w:rPr>
      <w:rFonts w:ascii="Arial" w:hAnsi="Arial" w:cs="Arial"/>
      <w:szCs w:val="24"/>
    </w:rPr>
  </w:style>
  <w:style w:type="paragraph" w:styleId="15">
    <w:name w:val="toc 3"/>
    <w:basedOn w:val="1"/>
    <w:next w:val="1"/>
    <w:unhideWhenUsed/>
    <w:qFormat/>
    <w:uiPriority w:val="39"/>
    <w:pPr>
      <w:widowControl/>
      <w:spacing w:after="100" w:line="276" w:lineRule="auto"/>
      <w:ind w:left="440"/>
      <w:jc w:val="left"/>
    </w:pPr>
    <w:rPr>
      <w:rFonts w:ascii="Calibri" w:hAnsi="Calibri"/>
      <w:kern w:val="0"/>
      <w:sz w:val="22"/>
    </w:rPr>
  </w:style>
  <w:style w:type="paragraph" w:styleId="16">
    <w:name w:val="Plain Text"/>
    <w:basedOn w:val="1"/>
    <w:next w:val="17"/>
    <w:link w:val="56"/>
    <w:qFormat/>
    <w:uiPriority w:val="99"/>
    <w:rPr>
      <w:rFonts w:ascii="宋体" w:hAnsi="Courier New"/>
      <w:kern w:val="0"/>
      <w:sz w:val="20"/>
      <w:szCs w:val="21"/>
    </w:rPr>
  </w:style>
  <w:style w:type="paragraph" w:customStyle="1" w:styleId="17">
    <w:name w:val="Default"/>
    <w:next w:val="18"/>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styleId="18">
    <w:name w:val="footnote text"/>
    <w:basedOn w:val="1"/>
    <w:link w:val="57"/>
    <w:unhideWhenUsed/>
    <w:qFormat/>
    <w:uiPriority w:val="99"/>
    <w:pPr>
      <w:snapToGrid w:val="0"/>
      <w:jc w:val="left"/>
    </w:pPr>
    <w:rPr>
      <w:rFonts w:ascii="Calibri" w:hAnsi="Calibri"/>
      <w:kern w:val="0"/>
      <w:sz w:val="18"/>
      <w:szCs w:val="20"/>
    </w:rPr>
  </w:style>
  <w:style w:type="paragraph" w:styleId="19">
    <w:name w:val="Date"/>
    <w:basedOn w:val="1"/>
    <w:next w:val="1"/>
    <w:link w:val="58"/>
    <w:uiPriority w:val="99"/>
    <w:pPr>
      <w:ind w:left="100" w:leftChars="2500"/>
    </w:pPr>
    <w:rPr>
      <w:kern w:val="0"/>
      <w:sz w:val="20"/>
      <w:szCs w:val="24"/>
    </w:rPr>
  </w:style>
  <w:style w:type="paragraph" w:styleId="20">
    <w:name w:val="Body Text Indent 2"/>
    <w:basedOn w:val="1"/>
    <w:link w:val="59"/>
    <w:qFormat/>
    <w:uiPriority w:val="99"/>
    <w:pPr>
      <w:spacing w:after="120" w:line="480" w:lineRule="auto"/>
      <w:ind w:left="420" w:leftChars="200"/>
    </w:pPr>
    <w:rPr>
      <w:kern w:val="0"/>
      <w:sz w:val="20"/>
      <w:szCs w:val="24"/>
    </w:rPr>
  </w:style>
  <w:style w:type="paragraph" w:styleId="21">
    <w:name w:val="Balloon Text"/>
    <w:basedOn w:val="1"/>
    <w:link w:val="60"/>
    <w:semiHidden/>
    <w:qFormat/>
    <w:uiPriority w:val="0"/>
    <w:rPr>
      <w:rFonts w:ascii="Calibri" w:hAnsi="Calibri"/>
      <w:kern w:val="0"/>
      <w:sz w:val="18"/>
      <w:szCs w:val="18"/>
    </w:rPr>
  </w:style>
  <w:style w:type="paragraph" w:styleId="22">
    <w:name w:val="footer"/>
    <w:basedOn w:val="1"/>
    <w:link w:val="61"/>
    <w:unhideWhenUsed/>
    <w:qFormat/>
    <w:uiPriority w:val="99"/>
    <w:pPr>
      <w:tabs>
        <w:tab w:val="center" w:pos="4153"/>
        <w:tab w:val="right" w:pos="8306"/>
      </w:tabs>
      <w:snapToGrid w:val="0"/>
      <w:jc w:val="left"/>
    </w:pPr>
    <w:rPr>
      <w:kern w:val="0"/>
      <w:sz w:val="18"/>
      <w:szCs w:val="18"/>
    </w:rPr>
  </w:style>
  <w:style w:type="paragraph" w:styleId="23">
    <w:name w:val="header"/>
    <w:basedOn w:val="1"/>
    <w:link w:val="6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unhideWhenUsed/>
    <w:qFormat/>
    <w:uiPriority w:val="39"/>
    <w:pPr>
      <w:widowControl/>
      <w:spacing w:after="100" w:line="276" w:lineRule="auto"/>
      <w:jc w:val="left"/>
    </w:pPr>
    <w:rPr>
      <w:rFonts w:ascii="Calibri" w:hAnsi="Calibri"/>
      <w:kern w:val="0"/>
      <w:sz w:val="22"/>
    </w:rPr>
  </w:style>
  <w:style w:type="paragraph" w:styleId="25">
    <w:name w:val="List"/>
    <w:basedOn w:val="1"/>
    <w:qFormat/>
    <w:uiPriority w:val="0"/>
    <w:pPr>
      <w:ind w:left="200" w:hanging="200" w:hangingChars="200"/>
    </w:pPr>
    <w:rPr>
      <w:szCs w:val="24"/>
    </w:rPr>
  </w:style>
  <w:style w:type="paragraph" w:styleId="26">
    <w:name w:val="toc 6"/>
    <w:basedOn w:val="1"/>
    <w:next w:val="1"/>
    <w:qFormat/>
    <w:uiPriority w:val="0"/>
    <w:pPr>
      <w:ind w:left="2100" w:leftChars="1000"/>
    </w:pPr>
    <w:rPr>
      <w:szCs w:val="24"/>
    </w:rPr>
  </w:style>
  <w:style w:type="paragraph" w:styleId="27">
    <w:name w:val="index 9"/>
    <w:basedOn w:val="1"/>
    <w:next w:val="1"/>
    <w:qFormat/>
    <w:uiPriority w:val="0"/>
    <w:pPr>
      <w:ind w:left="1600" w:leftChars="1600"/>
    </w:pPr>
    <w:rPr>
      <w:szCs w:val="20"/>
    </w:rPr>
  </w:style>
  <w:style w:type="paragraph" w:styleId="28">
    <w:name w:val="toc 2"/>
    <w:basedOn w:val="1"/>
    <w:next w:val="1"/>
    <w:unhideWhenUsed/>
    <w:qFormat/>
    <w:uiPriority w:val="39"/>
    <w:pPr>
      <w:widowControl/>
      <w:spacing w:after="100" w:line="276" w:lineRule="auto"/>
      <w:ind w:left="220"/>
      <w:jc w:val="left"/>
    </w:pPr>
    <w:rPr>
      <w:rFonts w:ascii="Calibri" w:hAnsi="Calibri"/>
      <w:kern w:val="0"/>
      <w:sz w:val="22"/>
    </w:rPr>
  </w:style>
  <w:style w:type="paragraph" w:styleId="29">
    <w:name w:val="Body Text 2"/>
    <w:basedOn w:val="1"/>
    <w:link w:val="63"/>
    <w:unhideWhenUsed/>
    <w:qFormat/>
    <w:uiPriority w:val="99"/>
    <w:pPr>
      <w:spacing w:after="120" w:line="480" w:lineRule="auto"/>
    </w:pPr>
  </w:style>
  <w:style w:type="paragraph" w:styleId="30">
    <w:name w:val="HTML Preformatted"/>
    <w:basedOn w:val="1"/>
    <w:link w:val="64"/>
    <w:qFormat/>
    <w:uiPriority w:val="99"/>
    <w:rPr>
      <w:rFonts w:ascii="Courier New" w:hAnsi="Courier New"/>
      <w:kern w:val="0"/>
      <w:sz w:val="20"/>
      <w:szCs w:val="20"/>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Title"/>
    <w:basedOn w:val="1"/>
    <w:next w:val="1"/>
    <w:link w:val="65"/>
    <w:qFormat/>
    <w:uiPriority w:val="0"/>
    <w:pPr>
      <w:spacing w:before="240" w:after="60"/>
      <w:ind w:left="850" w:hanging="425"/>
      <w:jc w:val="center"/>
      <w:outlineLvl w:val="0"/>
    </w:pPr>
    <w:rPr>
      <w:rFonts w:ascii="Cambria" w:hAnsi="Cambria"/>
      <w:b/>
      <w:bCs/>
      <w:sz w:val="32"/>
      <w:szCs w:val="32"/>
    </w:rPr>
  </w:style>
  <w:style w:type="paragraph" w:styleId="33">
    <w:name w:val="annotation subject"/>
    <w:basedOn w:val="10"/>
    <w:next w:val="10"/>
    <w:link w:val="66"/>
    <w:semiHidden/>
    <w:qFormat/>
    <w:uiPriority w:val="0"/>
    <w:rPr>
      <w:rFonts w:ascii="Calibri" w:hAnsi="Calibri"/>
      <w:b/>
      <w:bCs/>
    </w:rPr>
  </w:style>
  <w:style w:type="paragraph" w:styleId="34">
    <w:name w:val="Body Text First Indent"/>
    <w:basedOn w:val="12"/>
    <w:link w:val="67"/>
    <w:qFormat/>
    <w:uiPriority w:val="0"/>
    <w:pPr>
      <w:ind w:firstLine="420" w:firstLineChars="100"/>
    </w:pPr>
  </w:style>
  <w:style w:type="paragraph" w:styleId="35">
    <w:name w:val="Body Text First Indent 2"/>
    <w:basedOn w:val="13"/>
    <w:link w:val="68"/>
    <w:qFormat/>
    <w:uiPriority w:val="0"/>
    <w:pPr>
      <w:ind w:firstLine="420" w:firstLineChars="200"/>
    </w:pPr>
    <w:rPr>
      <w:kern w:val="2"/>
      <w:sz w:val="21"/>
    </w:rPr>
  </w:style>
  <w:style w:type="table" w:styleId="37">
    <w:name w:val="Table Grid"/>
    <w:basedOn w:val="3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qFormat/>
    <w:uiPriority w:val="22"/>
    <w:rPr>
      <w:b/>
      <w:bCs/>
    </w:rPr>
  </w:style>
  <w:style w:type="character" w:styleId="40">
    <w:name w:val="page number"/>
    <w:qFormat/>
    <w:uiPriority w:val="0"/>
  </w:style>
  <w:style w:type="character" w:styleId="41">
    <w:name w:val="FollowedHyperlink"/>
    <w:unhideWhenUsed/>
    <w:uiPriority w:val="99"/>
    <w:rPr>
      <w:color w:val="333333"/>
      <w:u w:val="none"/>
    </w:rPr>
  </w:style>
  <w:style w:type="character" w:styleId="42">
    <w:name w:val="Hyperlink"/>
    <w:qFormat/>
    <w:uiPriority w:val="99"/>
    <w:rPr>
      <w:color w:val="333333"/>
      <w:u w:val="none"/>
    </w:rPr>
  </w:style>
  <w:style w:type="character" w:styleId="43">
    <w:name w:val="annotation reference"/>
    <w:qFormat/>
    <w:uiPriority w:val="99"/>
    <w:rPr>
      <w:rFonts w:cs="Times New Roman"/>
      <w:sz w:val="21"/>
    </w:rPr>
  </w:style>
  <w:style w:type="character" w:styleId="44">
    <w:name w:val="footnote reference"/>
    <w:unhideWhenUsed/>
    <w:qFormat/>
    <w:uiPriority w:val="99"/>
    <w:rPr>
      <w:vertAlign w:val="superscript"/>
    </w:rPr>
  </w:style>
  <w:style w:type="character" w:customStyle="1" w:styleId="45">
    <w:name w:val="标题 1 字符"/>
    <w:link w:val="3"/>
    <w:qFormat/>
    <w:uiPriority w:val="0"/>
    <w:rPr>
      <w:rFonts w:ascii="Times New Roman" w:hAnsi="Times New Roman" w:eastAsia="宋体" w:cs="Times New Roman"/>
      <w:b/>
      <w:kern w:val="44"/>
      <w:sz w:val="44"/>
      <w:szCs w:val="20"/>
    </w:rPr>
  </w:style>
  <w:style w:type="character" w:customStyle="1" w:styleId="46">
    <w:name w:val="标题 2 字符"/>
    <w:link w:val="4"/>
    <w:qFormat/>
    <w:uiPriority w:val="0"/>
    <w:rPr>
      <w:rFonts w:ascii="Arial" w:hAnsi="Arial" w:eastAsia="Microsoft YaHei UI" w:cs="Times New Roman"/>
      <w:b/>
      <w:bCs/>
      <w:sz w:val="32"/>
      <w:szCs w:val="32"/>
    </w:rPr>
  </w:style>
  <w:style w:type="character" w:customStyle="1" w:styleId="47">
    <w:name w:val="标题 3 字符"/>
    <w:link w:val="5"/>
    <w:qFormat/>
    <w:uiPriority w:val="0"/>
    <w:rPr>
      <w:rFonts w:ascii="Calibri" w:hAnsi="Calibri" w:eastAsia="宋体" w:cs="Times New Roman"/>
      <w:b/>
      <w:bCs/>
      <w:sz w:val="32"/>
      <w:szCs w:val="32"/>
    </w:rPr>
  </w:style>
  <w:style w:type="character" w:customStyle="1" w:styleId="48">
    <w:name w:val="标题 4 字符"/>
    <w:link w:val="6"/>
    <w:qFormat/>
    <w:uiPriority w:val="0"/>
    <w:rPr>
      <w:rFonts w:ascii="Times New Roman Bold" w:hAnsi="Times New Roman Bold" w:eastAsia="宋体" w:cs="Times New Roman"/>
      <w:b/>
      <w:kern w:val="0"/>
      <w:sz w:val="24"/>
      <w:szCs w:val="20"/>
      <w:lang w:val="en-GB" w:eastAsia="en-US"/>
    </w:rPr>
  </w:style>
  <w:style w:type="character" w:customStyle="1" w:styleId="49">
    <w:name w:val="标题 5 字符"/>
    <w:link w:val="7"/>
    <w:qFormat/>
    <w:uiPriority w:val="0"/>
    <w:rPr>
      <w:rFonts w:ascii="Arial" w:hAnsi="Arial"/>
      <w:b/>
      <w:bCs/>
      <w:iCs/>
      <w:szCs w:val="21"/>
    </w:rPr>
  </w:style>
  <w:style w:type="character" w:customStyle="1" w:styleId="50">
    <w:name w:val="正文缩进 字符"/>
    <w:link w:val="8"/>
    <w:qFormat/>
    <w:uiPriority w:val="99"/>
    <w:rPr>
      <w:rFonts w:ascii="Times New Roman" w:hAnsi="Times New Roman" w:eastAsia="宋体" w:cs="Times New Roman"/>
      <w:szCs w:val="24"/>
    </w:rPr>
  </w:style>
  <w:style w:type="character" w:customStyle="1" w:styleId="51">
    <w:name w:val="文档结构图 字符"/>
    <w:link w:val="9"/>
    <w:semiHidden/>
    <w:qFormat/>
    <w:uiPriority w:val="0"/>
    <w:rPr>
      <w:rFonts w:ascii="Calibri" w:hAnsi="Calibri" w:eastAsia="宋体" w:cs="Times New Roman"/>
      <w:shd w:val="clear" w:color="auto" w:fill="000080"/>
    </w:rPr>
  </w:style>
  <w:style w:type="character" w:customStyle="1" w:styleId="52">
    <w:name w:val="批注文字 字符"/>
    <w:link w:val="10"/>
    <w:qFormat/>
    <w:uiPriority w:val="0"/>
  </w:style>
  <w:style w:type="character" w:customStyle="1" w:styleId="53">
    <w:name w:val="正文文本 3 字符"/>
    <w:link w:val="11"/>
    <w:qFormat/>
    <w:uiPriority w:val="0"/>
    <w:rPr>
      <w:rFonts w:ascii="Calibri" w:hAnsi="Calibri" w:eastAsia="宋体" w:cs="Times New Roman"/>
      <w:sz w:val="16"/>
      <w:szCs w:val="16"/>
    </w:rPr>
  </w:style>
  <w:style w:type="character" w:customStyle="1" w:styleId="54">
    <w:name w:val="正文文本 字符"/>
    <w:link w:val="12"/>
    <w:qFormat/>
    <w:uiPriority w:val="0"/>
    <w:rPr>
      <w:rFonts w:ascii="Calibri" w:hAnsi="Calibri" w:eastAsia="宋体" w:cs="Times New Roman"/>
    </w:rPr>
  </w:style>
  <w:style w:type="character" w:customStyle="1" w:styleId="55">
    <w:name w:val="正文文本缩进 字符"/>
    <w:link w:val="13"/>
    <w:semiHidden/>
    <w:qFormat/>
    <w:uiPriority w:val="99"/>
  </w:style>
  <w:style w:type="character" w:customStyle="1" w:styleId="56">
    <w:name w:val="纯文本 字符"/>
    <w:link w:val="16"/>
    <w:semiHidden/>
    <w:qFormat/>
    <w:uiPriority w:val="99"/>
    <w:rPr>
      <w:rFonts w:ascii="宋体" w:hAnsi="Courier New" w:eastAsia="宋体" w:cs="Courier New"/>
      <w:szCs w:val="21"/>
    </w:rPr>
  </w:style>
  <w:style w:type="character" w:customStyle="1" w:styleId="57">
    <w:name w:val="脚注文本 字符"/>
    <w:link w:val="18"/>
    <w:qFormat/>
    <w:uiPriority w:val="99"/>
    <w:rPr>
      <w:rFonts w:ascii="Calibri" w:hAnsi="Calibri"/>
      <w:sz w:val="18"/>
    </w:rPr>
  </w:style>
  <w:style w:type="character" w:customStyle="1" w:styleId="58">
    <w:name w:val="日期 字符"/>
    <w:link w:val="19"/>
    <w:semiHidden/>
    <w:qFormat/>
    <w:uiPriority w:val="99"/>
  </w:style>
  <w:style w:type="character" w:customStyle="1" w:styleId="59">
    <w:name w:val="正文文本缩进 2 字符"/>
    <w:link w:val="20"/>
    <w:semiHidden/>
    <w:qFormat/>
    <w:uiPriority w:val="99"/>
  </w:style>
  <w:style w:type="character" w:customStyle="1" w:styleId="60">
    <w:name w:val="批注框文本 字符"/>
    <w:link w:val="21"/>
    <w:semiHidden/>
    <w:qFormat/>
    <w:uiPriority w:val="0"/>
    <w:rPr>
      <w:rFonts w:ascii="Calibri" w:hAnsi="Calibri" w:eastAsia="宋体" w:cs="Times New Roman"/>
      <w:sz w:val="18"/>
      <w:szCs w:val="18"/>
    </w:rPr>
  </w:style>
  <w:style w:type="character" w:customStyle="1" w:styleId="61">
    <w:name w:val="页脚 字符"/>
    <w:link w:val="22"/>
    <w:qFormat/>
    <w:uiPriority w:val="99"/>
    <w:rPr>
      <w:sz w:val="18"/>
      <w:szCs w:val="18"/>
    </w:rPr>
  </w:style>
  <w:style w:type="character" w:customStyle="1" w:styleId="62">
    <w:name w:val="页眉 字符"/>
    <w:link w:val="23"/>
    <w:qFormat/>
    <w:uiPriority w:val="0"/>
    <w:rPr>
      <w:sz w:val="18"/>
      <w:szCs w:val="18"/>
    </w:rPr>
  </w:style>
  <w:style w:type="character" w:customStyle="1" w:styleId="63">
    <w:name w:val="正文文本 2 字符"/>
    <w:link w:val="29"/>
    <w:semiHidden/>
    <w:qFormat/>
    <w:uiPriority w:val="99"/>
    <w:rPr>
      <w:kern w:val="2"/>
      <w:sz w:val="21"/>
      <w:szCs w:val="22"/>
    </w:rPr>
  </w:style>
  <w:style w:type="character" w:customStyle="1" w:styleId="64">
    <w:name w:val="HTML 预设格式 字符"/>
    <w:link w:val="30"/>
    <w:semiHidden/>
    <w:qFormat/>
    <w:uiPriority w:val="99"/>
    <w:rPr>
      <w:rFonts w:ascii="Courier New" w:hAnsi="Courier New" w:cs="Courier New"/>
      <w:sz w:val="20"/>
      <w:szCs w:val="20"/>
    </w:rPr>
  </w:style>
  <w:style w:type="character" w:customStyle="1" w:styleId="65">
    <w:name w:val="标题 字符"/>
    <w:link w:val="32"/>
    <w:qFormat/>
    <w:uiPriority w:val="0"/>
    <w:rPr>
      <w:rFonts w:ascii="Cambria" w:hAnsi="Cambria"/>
      <w:b/>
      <w:bCs/>
      <w:kern w:val="2"/>
      <w:sz w:val="32"/>
      <w:szCs w:val="32"/>
    </w:rPr>
  </w:style>
  <w:style w:type="character" w:customStyle="1" w:styleId="66">
    <w:name w:val="批注主题 字符"/>
    <w:link w:val="33"/>
    <w:semiHidden/>
    <w:qFormat/>
    <w:uiPriority w:val="0"/>
    <w:rPr>
      <w:rFonts w:ascii="Calibri" w:hAnsi="Calibri" w:eastAsia="宋体"/>
      <w:b/>
      <w:bCs/>
    </w:rPr>
  </w:style>
  <w:style w:type="character" w:customStyle="1" w:styleId="67">
    <w:name w:val="正文首行缩进 字符"/>
    <w:link w:val="34"/>
    <w:qFormat/>
    <w:uiPriority w:val="0"/>
  </w:style>
  <w:style w:type="character" w:customStyle="1" w:styleId="68">
    <w:name w:val="正文首行缩进 2 字符"/>
    <w:link w:val="35"/>
    <w:qFormat/>
    <w:uiPriority w:val="0"/>
    <w:rPr>
      <w:kern w:val="2"/>
      <w:sz w:val="21"/>
      <w:szCs w:val="21"/>
    </w:rPr>
  </w:style>
  <w:style w:type="character" w:customStyle="1" w:styleId="69">
    <w:name w:val="样式 (符号) 宋体 小三 加粗 黑色"/>
    <w:uiPriority w:val="0"/>
    <w:rPr>
      <w:b/>
      <w:bCs/>
      <w:color w:val="000000"/>
      <w:sz w:val="30"/>
    </w:rPr>
  </w:style>
  <w:style w:type="character" w:customStyle="1" w:styleId="70">
    <w:name w:val="Arial 10"/>
    <w:qFormat/>
    <w:uiPriority w:val="0"/>
    <w:rPr>
      <w:rFonts w:ascii="Arial" w:hAnsi="Arial"/>
      <w:sz w:val="20"/>
    </w:rPr>
  </w:style>
  <w:style w:type="character" w:customStyle="1" w:styleId="71">
    <w:name w:val="cucd-0 Char"/>
    <w:uiPriority w:val="99"/>
    <w:rPr>
      <w:kern w:val="2"/>
      <w:sz w:val="24"/>
      <w:szCs w:val="24"/>
      <w:lang w:val="en-US" w:eastAsia="zh-CN" w:bidi="ar-SA"/>
    </w:rPr>
  </w:style>
  <w:style w:type="character" w:customStyle="1" w:styleId="72">
    <w:name w:val="HTML 预设格式 Char1"/>
    <w:qFormat/>
    <w:uiPriority w:val="0"/>
    <w:rPr>
      <w:rFonts w:ascii="Courier New" w:hAnsi="Courier New" w:cs="Courier New"/>
      <w:kern w:val="2"/>
    </w:rPr>
  </w:style>
  <w:style w:type="character" w:customStyle="1" w:styleId="73">
    <w:name w:val="fontstyle01"/>
    <w:qFormat/>
    <w:uiPriority w:val="0"/>
    <w:rPr>
      <w:rFonts w:hint="eastAsia" w:ascii="宋体" w:hAnsi="宋体" w:eastAsia="宋体"/>
      <w:color w:val="000000"/>
      <w:sz w:val="22"/>
      <w:szCs w:val="22"/>
    </w:rPr>
  </w:style>
  <w:style w:type="character" w:customStyle="1" w:styleId="74">
    <w:name w:val="HTML 预设格式 Char"/>
    <w:qFormat/>
    <w:uiPriority w:val="0"/>
    <w:rPr>
      <w:rFonts w:ascii="Courier New" w:hAnsi="Courier New" w:cs="Courier New"/>
    </w:rPr>
  </w:style>
  <w:style w:type="character" w:customStyle="1" w:styleId="75">
    <w:name w:val="fontstyle11"/>
    <w:qFormat/>
    <w:uiPriority w:val="0"/>
    <w:rPr>
      <w:rFonts w:hint="default" w:ascii="Times New Roman" w:hAnsi="Times New Roman" w:cs="Times New Roman"/>
      <w:color w:val="000000"/>
      <w:sz w:val="22"/>
      <w:szCs w:val="22"/>
    </w:rPr>
  </w:style>
  <w:style w:type="character" w:customStyle="1" w:styleId="76">
    <w:name w:val="正文文本缩进 Char"/>
    <w:qFormat/>
    <w:uiPriority w:val="0"/>
    <w:rPr>
      <w:szCs w:val="21"/>
    </w:rPr>
  </w:style>
  <w:style w:type="character" w:customStyle="1" w:styleId="77">
    <w:name w:val="纯文本 Char1"/>
    <w:qFormat/>
    <w:uiPriority w:val="0"/>
    <w:rPr>
      <w:rFonts w:ascii="宋体" w:hAnsi="Courier New" w:cs="Courier New"/>
      <w:kern w:val="2"/>
      <w:sz w:val="21"/>
      <w:szCs w:val="21"/>
    </w:rPr>
  </w:style>
  <w:style w:type="character" w:customStyle="1" w:styleId="78">
    <w:name w:val="正文文本 Char1"/>
    <w:semiHidden/>
    <w:qFormat/>
    <w:locked/>
    <w:uiPriority w:val="0"/>
  </w:style>
  <w:style w:type="character" w:customStyle="1" w:styleId="79">
    <w:name w:val="日期 Char1"/>
    <w:qFormat/>
    <w:uiPriority w:val="0"/>
    <w:rPr>
      <w:rFonts w:ascii="Calibri" w:hAnsi="Calibri"/>
      <w:kern w:val="2"/>
      <w:sz w:val="21"/>
      <w:szCs w:val="22"/>
    </w:rPr>
  </w:style>
  <w:style w:type="character" w:customStyle="1" w:styleId="80">
    <w:name w:val="纯文本 Char"/>
    <w:qFormat/>
    <w:uiPriority w:val="0"/>
    <w:rPr>
      <w:rFonts w:ascii="宋体" w:hAnsi="Courier New" w:cs="Courier New"/>
      <w:szCs w:val="21"/>
    </w:rPr>
  </w:style>
  <w:style w:type="character" w:customStyle="1" w:styleId="81">
    <w:name w:val="正文文本缩进 2 Char1"/>
    <w:qFormat/>
    <w:uiPriority w:val="0"/>
    <w:rPr>
      <w:rFonts w:ascii="Calibri" w:hAnsi="Calibri"/>
      <w:kern w:val="2"/>
      <w:sz w:val="21"/>
      <w:szCs w:val="22"/>
    </w:rPr>
  </w:style>
  <w:style w:type="character" w:customStyle="1" w:styleId="82">
    <w:name w:val="首行缩进2字符 Char"/>
    <w:link w:val="83"/>
    <w:qFormat/>
    <w:uiPriority w:val="0"/>
    <w:rPr>
      <w:bCs/>
      <w:sz w:val="24"/>
      <w:szCs w:val="24"/>
    </w:rPr>
  </w:style>
  <w:style w:type="paragraph" w:customStyle="1" w:styleId="83">
    <w:name w:val="首行缩进2字符"/>
    <w:basedOn w:val="1"/>
    <w:next w:val="1"/>
    <w:link w:val="82"/>
    <w:qFormat/>
    <w:uiPriority w:val="0"/>
    <w:pPr>
      <w:spacing w:line="360" w:lineRule="auto"/>
      <w:ind w:firstLine="200" w:firstLineChars="200"/>
    </w:pPr>
    <w:rPr>
      <w:bCs/>
      <w:kern w:val="0"/>
      <w:sz w:val="24"/>
      <w:szCs w:val="24"/>
    </w:rPr>
  </w:style>
  <w:style w:type="character" w:customStyle="1" w:styleId="84">
    <w:name w:val="正文文本缩进 2 Char"/>
    <w:qFormat/>
    <w:uiPriority w:val="0"/>
    <w:rPr>
      <w:szCs w:val="24"/>
    </w:rPr>
  </w:style>
  <w:style w:type="character" w:customStyle="1" w:styleId="85">
    <w:name w:val="Arial 12 Fett"/>
    <w:qFormat/>
    <w:uiPriority w:val="0"/>
    <w:rPr>
      <w:rFonts w:ascii="Arial" w:hAnsi="Arial"/>
      <w:b/>
      <w:sz w:val="24"/>
    </w:rPr>
  </w:style>
  <w:style w:type="character" w:customStyle="1" w:styleId="86">
    <w:name w:val="页脚 Char1"/>
    <w:qFormat/>
    <w:uiPriority w:val="0"/>
    <w:rPr>
      <w:rFonts w:eastAsia="宋体"/>
      <w:kern w:val="2"/>
      <w:sz w:val="18"/>
      <w:szCs w:val="18"/>
      <w:lang w:val="en-US" w:eastAsia="zh-CN" w:bidi="ar-SA"/>
    </w:rPr>
  </w:style>
  <w:style w:type="character" w:customStyle="1" w:styleId="87">
    <w:name w:val="日期 Char"/>
    <w:qFormat/>
    <w:uiPriority w:val="0"/>
    <w:rPr>
      <w:szCs w:val="24"/>
    </w:rPr>
  </w:style>
  <w:style w:type="character" w:customStyle="1" w:styleId="88">
    <w:name w:val="批注文字 Char"/>
    <w:qFormat/>
    <w:locked/>
    <w:uiPriority w:val="0"/>
    <w:rPr>
      <w:rFonts w:eastAsia="宋体"/>
    </w:rPr>
  </w:style>
  <w:style w:type="character" w:customStyle="1" w:styleId="89">
    <w:name w:val="正文文本缩进 Char1"/>
    <w:qFormat/>
    <w:uiPriority w:val="0"/>
    <w:rPr>
      <w:rFonts w:ascii="Calibri" w:hAnsi="Calibri"/>
      <w:kern w:val="2"/>
      <w:sz w:val="21"/>
      <w:szCs w:val="22"/>
    </w:rPr>
  </w:style>
  <w:style w:type="character" w:customStyle="1" w:styleId="90">
    <w:name w:val="cucd-0 Char Char"/>
    <w:link w:val="91"/>
    <w:qFormat/>
    <w:uiPriority w:val="0"/>
    <w:rPr>
      <w:kern w:val="2"/>
      <w:sz w:val="24"/>
      <w:szCs w:val="24"/>
      <w:lang w:val="en-US" w:eastAsia="zh-CN" w:bidi="ar-SA"/>
    </w:rPr>
  </w:style>
  <w:style w:type="paragraph" w:customStyle="1" w:styleId="91">
    <w:name w:val="cucd-0"/>
    <w:link w:val="9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92">
    <w:name w:val="批注文字 字符2"/>
    <w:semiHidden/>
    <w:qFormat/>
    <w:uiPriority w:val="99"/>
    <w:rPr>
      <w:kern w:val="2"/>
      <w:sz w:val="21"/>
      <w:szCs w:val="22"/>
    </w:rPr>
  </w:style>
  <w:style w:type="paragraph" w:customStyle="1" w:styleId="93">
    <w:name w:val="TOC 标题1"/>
    <w:basedOn w:val="3"/>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94">
    <w:name w:val="首行缩进"/>
    <w:basedOn w:val="1"/>
    <w:next w:val="1"/>
    <w:qFormat/>
    <w:uiPriority w:val="0"/>
    <w:pPr>
      <w:ind w:firstLine="200" w:firstLineChars="200"/>
    </w:pPr>
    <w:rPr>
      <w:szCs w:val="24"/>
    </w:rPr>
  </w:style>
  <w:style w:type="paragraph" w:customStyle="1" w:styleId="95">
    <w:name w:val="cucd-3"/>
    <w:next w:val="1"/>
    <w:qFormat/>
    <w:uiPriority w:val="0"/>
    <w:pPr>
      <w:tabs>
        <w:tab w:val="left" w:pos="1276"/>
      </w:tabs>
      <w:spacing w:line="360" w:lineRule="auto"/>
      <w:outlineLvl w:val="2"/>
    </w:pPr>
    <w:rPr>
      <w:rFonts w:ascii="Times New Roman" w:hAnsi="Times New Roman" w:eastAsia="宋体" w:cs="Times New Roman"/>
      <w:kern w:val="2"/>
      <w:sz w:val="21"/>
      <w:szCs w:val="21"/>
      <w:lang w:val="en-US" w:eastAsia="zh-CN" w:bidi="ar-SA"/>
    </w:rPr>
  </w:style>
  <w:style w:type="paragraph" w:customStyle="1" w:styleId="96">
    <w:name w:val="TOC 标题11"/>
    <w:basedOn w:val="3"/>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97">
    <w:name w:val="Char Char2 Char Char Char Char Char Char"/>
    <w:basedOn w:val="1"/>
    <w:qFormat/>
    <w:uiPriority w:val="0"/>
    <w:pPr>
      <w:spacing w:line="360" w:lineRule="auto"/>
    </w:pPr>
    <w:rPr>
      <w:rFonts w:ascii="宋体" w:hAnsi="宋体"/>
      <w:sz w:val="22"/>
      <w:szCs w:val="24"/>
    </w:rPr>
  </w:style>
  <w:style w:type="paragraph" w:customStyle="1" w:styleId="98">
    <w:name w:val="Char Char Char Char"/>
    <w:basedOn w:val="1"/>
    <w:qFormat/>
    <w:uiPriority w:val="0"/>
    <w:rPr>
      <w:szCs w:val="21"/>
    </w:rPr>
  </w:style>
  <w:style w:type="paragraph" w:customStyle="1" w:styleId="99">
    <w:name w:val="TOC 标题12"/>
    <w:basedOn w:val="3"/>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100">
    <w:name w:val="Char1"/>
    <w:basedOn w:val="1"/>
    <w:qFormat/>
    <w:uiPriority w:val="0"/>
    <w:rPr>
      <w:szCs w:val="21"/>
    </w:rPr>
  </w:style>
  <w:style w:type="paragraph" w:customStyle="1" w:styleId="101">
    <w:name w:val="默认段落字体 Para Char Char Char Char"/>
    <w:basedOn w:val="1"/>
    <w:qFormat/>
    <w:uiPriority w:val="0"/>
    <w:pPr>
      <w:spacing w:line="480" w:lineRule="exact"/>
      <w:outlineLvl w:val="3"/>
    </w:pPr>
    <w:rPr>
      <w:b/>
      <w:sz w:val="24"/>
      <w:szCs w:val="24"/>
    </w:rPr>
  </w:style>
  <w:style w:type="paragraph" w:customStyle="1" w:styleId="102">
    <w:name w:val="列出段落2"/>
    <w:basedOn w:val="1"/>
    <w:qFormat/>
    <w:uiPriority w:val="0"/>
    <w:pPr>
      <w:ind w:firstLine="420" w:firstLineChars="200"/>
    </w:pPr>
    <w:rPr>
      <w:szCs w:val="24"/>
    </w:rPr>
  </w:style>
  <w:style w:type="paragraph" w:customStyle="1" w:styleId="103">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4">
    <w:name w:val="Char2"/>
    <w:basedOn w:val="1"/>
    <w:qFormat/>
    <w:uiPriority w:val="0"/>
    <w:rPr>
      <w:szCs w:val="24"/>
    </w:rPr>
  </w:style>
  <w:style w:type="paragraph" w:customStyle="1" w:styleId="105">
    <w:name w:val="修订1"/>
    <w:unhideWhenUsed/>
    <w:qFormat/>
    <w:uiPriority w:val="99"/>
    <w:rPr>
      <w:rFonts w:ascii="Times New Roman" w:hAnsi="Times New Roman" w:eastAsia="宋体" w:cs="Times New Roman"/>
      <w:kern w:val="2"/>
      <w:sz w:val="21"/>
      <w:szCs w:val="22"/>
      <w:lang w:val="en-US" w:eastAsia="zh-CN" w:bidi="ar-SA"/>
    </w:rPr>
  </w:style>
  <w:style w:type="paragraph" w:customStyle="1" w:styleId="106">
    <w:name w:val="cucd-1"/>
    <w:next w:val="107"/>
    <w:qFormat/>
    <w:uiPriority w:val="0"/>
    <w:pPr>
      <w:pageBreakBefore/>
      <w:tabs>
        <w:tab w:val="left" w:pos="3260"/>
      </w:tabs>
      <w:spacing w:afterLines="50" w:line="360" w:lineRule="auto"/>
      <w:outlineLvl w:val="0"/>
    </w:pPr>
    <w:rPr>
      <w:rFonts w:ascii="Times New Roman" w:hAnsi="Times New Roman" w:eastAsia="黑体" w:cs="Times New Roman"/>
      <w:b/>
      <w:kern w:val="2"/>
      <w:sz w:val="28"/>
      <w:szCs w:val="28"/>
      <w:lang w:val="en-US" w:eastAsia="zh-CN" w:bidi="ar-SA"/>
    </w:rPr>
  </w:style>
  <w:style w:type="paragraph" w:customStyle="1" w:styleId="107">
    <w:name w:val="cucd-2"/>
    <w:next w:val="95"/>
    <w:qFormat/>
    <w:uiPriority w:val="0"/>
    <w:pPr>
      <w:tabs>
        <w:tab w:val="left" w:pos="567"/>
      </w:tabs>
      <w:spacing w:line="360" w:lineRule="auto"/>
      <w:outlineLvl w:val="1"/>
    </w:pPr>
    <w:rPr>
      <w:rFonts w:ascii="宋体" w:hAnsi="宋体" w:eastAsia="宋体" w:cs="Times New Roman"/>
      <w:b/>
      <w:kern w:val="2"/>
      <w:sz w:val="21"/>
      <w:szCs w:val="21"/>
      <w:lang w:val="en-US" w:eastAsia="zh-CN" w:bidi="ar-SA"/>
    </w:rPr>
  </w:style>
  <w:style w:type="paragraph" w:customStyle="1" w:styleId="108">
    <w:name w:val="样式1"/>
    <w:basedOn w:val="1"/>
    <w:qFormat/>
    <w:uiPriority w:val="0"/>
    <w:pPr>
      <w:adjustRightInd w:val="0"/>
      <w:spacing w:line="420" w:lineRule="auto"/>
      <w:jc w:val="center"/>
      <w:textAlignment w:val="baseline"/>
    </w:pPr>
    <w:rPr>
      <w:rFonts w:ascii="宋体" w:hAnsi="新宋体" w:eastAsia="新宋体"/>
      <w:kern w:val="0"/>
      <w:sz w:val="24"/>
      <w:szCs w:val="21"/>
    </w:rPr>
  </w:style>
  <w:style w:type="paragraph" w:customStyle="1" w:styleId="109">
    <w:name w:val="Text7-1 Char"/>
    <w:basedOn w:val="1"/>
    <w:qFormat/>
    <w:uiPriority w:val="0"/>
    <w:pPr>
      <w:adjustRightInd w:val="0"/>
      <w:textAlignment w:val="baseline"/>
    </w:pPr>
    <w:rPr>
      <w:kern w:val="0"/>
      <w:sz w:val="24"/>
      <w:szCs w:val="24"/>
    </w:rPr>
  </w:style>
  <w:style w:type="paragraph" w:customStyle="1" w:styleId="110">
    <w:name w:val="Char Char Char1 Char"/>
    <w:basedOn w:val="9"/>
    <w:qFormat/>
    <w:uiPriority w:val="0"/>
    <w:rPr>
      <w:rFonts w:ascii="Tahoma" w:hAnsi="Tahoma"/>
      <w:sz w:val="24"/>
      <w:szCs w:val="24"/>
    </w:rPr>
  </w:style>
  <w:style w:type="paragraph" w:customStyle="1" w:styleId="111">
    <w:name w:val="Table Paragraph"/>
    <w:basedOn w:val="1"/>
    <w:qFormat/>
    <w:uiPriority w:val="0"/>
    <w:rPr>
      <w:szCs w:val="24"/>
    </w:rPr>
  </w:style>
  <w:style w:type="paragraph" w:customStyle="1" w:styleId="112">
    <w:name w:val="表格"/>
    <w:basedOn w:val="1"/>
    <w:qFormat/>
    <w:uiPriority w:val="0"/>
    <w:pPr>
      <w:tabs>
        <w:tab w:val="left" w:pos="737"/>
      </w:tabs>
      <w:adjustRightInd w:val="0"/>
      <w:spacing w:before="60" w:after="60" w:line="240" w:lineRule="atLeast"/>
      <w:jc w:val="center"/>
      <w:textAlignment w:val="bottom"/>
    </w:pPr>
    <w:rPr>
      <w:kern w:val="0"/>
      <w:szCs w:val="21"/>
    </w:rPr>
  </w:style>
  <w:style w:type="paragraph" w:customStyle="1" w:styleId="11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默认段落字体 Para Char"/>
    <w:basedOn w:val="1"/>
    <w:qFormat/>
    <w:uiPriority w:val="0"/>
    <w:rPr>
      <w:szCs w:val="24"/>
    </w:rPr>
  </w:style>
  <w:style w:type="paragraph" w:customStyle="1" w:styleId="115">
    <w:name w:val="表格1"/>
    <w:basedOn w:val="1"/>
    <w:qFormat/>
    <w:uiPriority w:val="0"/>
    <w:pPr>
      <w:adjustRightInd w:val="0"/>
      <w:textAlignment w:val="baseline"/>
    </w:pPr>
    <w:rPr>
      <w:kern w:val="24"/>
      <w:szCs w:val="21"/>
    </w:rPr>
  </w:style>
  <w:style w:type="paragraph" w:customStyle="1" w:styleId="116">
    <w:name w:val="Char"/>
    <w:basedOn w:val="1"/>
    <w:qFormat/>
    <w:uiPriority w:val="0"/>
    <w:rPr>
      <w:szCs w:val="24"/>
    </w:rPr>
  </w:style>
  <w:style w:type="paragraph" w:customStyle="1" w:styleId="11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18">
    <w:name w:val="List Paragraph"/>
    <w:basedOn w:val="1"/>
    <w:qFormat/>
    <w:uiPriority w:val="0"/>
    <w:pPr>
      <w:widowControl/>
      <w:spacing w:after="120" w:line="360" w:lineRule="auto"/>
      <w:ind w:firstLine="420" w:firstLineChars="200"/>
    </w:pPr>
    <w:rPr>
      <w:szCs w:val="24"/>
    </w:rPr>
  </w:style>
  <w:style w:type="paragraph" w:customStyle="1" w:styleId="11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_Style 311"/>
    <w:basedOn w:val="1"/>
    <w:next w:val="118"/>
    <w:qFormat/>
    <w:uiPriority w:val="0"/>
    <w:pPr>
      <w:widowControl/>
      <w:ind w:firstLine="420" w:firstLineChars="200"/>
      <w:jc w:val="left"/>
    </w:pPr>
    <w:rPr>
      <w:rFonts w:ascii="Calibri" w:hAnsi="Calibri"/>
    </w:rPr>
  </w:style>
  <w:style w:type="paragraph" w:customStyle="1" w:styleId="121">
    <w:name w:val="表格文字"/>
    <w:basedOn w:val="1"/>
    <w:next w:val="1"/>
    <w:qFormat/>
    <w:uiPriority w:val="0"/>
  </w:style>
  <w:style w:type="character" w:customStyle="1" w:styleId="122">
    <w:name w:val="标题 Char1"/>
    <w:qFormat/>
    <w:uiPriority w:val="10"/>
    <w:rPr>
      <w:rFonts w:ascii="Cambria" w:hAnsi="Cambria" w:cs="Times New Roman"/>
      <w:b/>
      <w:bCs/>
      <w:kern w:val="2"/>
      <w:sz w:val="32"/>
      <w:szCs w:val="32"/>
    </w:rPr>
  </w:style>
  <w:style w:type="character" w:customStyle="1" w:styleId="123">
    <w:name w:val="NormalCharacter"/>
    <w:qFormat/>
    <w:uiPriority w:val="0"/>
  </w:style>
  <w:style w:type="character" w:customStyle="1" w:styleId="124">
    <w:name w:val="UserStyle_14"/>
    <w:link w:val="125"/>
    <w:qFormat/>
    <w:uiPriority w:val="0"/>
    <w:rPr>
      <w:rFonts w:ascii="宋体" w:hAnsi="Courier New"/>
    </w:rPr>
  </w:style>
  <w:style w:type="paragraph" w:customStyle="1" w:styleId="125">
    <w:name w:val="PlainText"/>
    <w:basedOn w:val="1"/>
    <w:link w:val="124"/>
    <w:qFormat/>
    <w:uiPriority w:val="0"/>
    <w:pPr>
      <w:widowControl/>
      <w:textAlignment w:val="baseline"/>
    </w:pPr>
    <w:rPr>
      <w:rFonts w:ascii="宋体" w:hAnsi="Courier New"/>
      <w:kern w:val="0"/>
      <w:sz w:val="20"/>
      <w:szCs w:val="20"/>
    </w:rPr>
  </w:style>
  <w:style w:type="paragraph" w:customStyle="1" w:styleId="12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27">
    <w:name w:val="_Style 7"/>
    <w:basedOn w:val="1"/>
    <w:next w:val="118"/>
    <w:qFormat/>
    <w:uiPriority w:val="0"/>
    <w:pPr>
      <w:widowControl/>
      <w:spacing w:after="120" w:line="360" w:lineRule="auto"/>
      <w:ind w:firstLine="420" w:firstLineChars="200"/>
    </w:pPr>
    <w:rPr>
      <w:szCs w:val="24"/>
    </w:rPr>
  </w:style>
  <w:style w:type="paragraph" w:customStyle="1" w:styleId="128">
    <w:name w:val="null3"/>
    <w:hidden/>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6F9FB0-1300-419F-B2BC-FEDDE83DE46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5152</Words>
  <Characters>5228</Characters>
  <Lines>58</Lines>
  <Paragraphs>16</Paragraphs>
  <TotalTime>407</TotalTime>
  <ScaleCrop>false</ScaleCrop>
  <LinksUpToDate>false</LinksUpToDate>
  <CharactersWithSpaces>5231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2025-06-25T06:43:00Z</dcterms:created>
  <dc:creator>NTKO</dc:creator>
  <cp:lastModifiedBy>谢翔</cp:lastModifiedBy>
  <cp:lastPrinted>2024-03-06T02:04:00Z</cp:lastPrinted>
  <dcterms:modified xsi:type="dcterms:W3CDTF">2025-07-03T07:04:08Z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821D7F9E650643A19413F34AF580E678_13</vt:lpwstr>
  </property>
  <property fmtid="{D5CDD505-2E9C-101B-9397-08002B2CF9AE}" pid="4" name="KSOTemplateDocerSaveRecord">
    <vt:lpwstr>eyJoZGlkIjoiNWE0NTE5NmZkN2NhYzEzNDNiZDQ0YTcwY2M3NTM5ZDciLCJ1c2VySWQiOiIxNjk5OTYwNTE5In0=</vt:lpwstr>
  </property>
</Properties>
</file>