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766BA">
      <w:pPr>
        <w:pStyle w:val="4"/>
        <w:jc w:val="center"/>
        <w:outlineLvl w:val="1"/>
        <w:rPr>
          <w:rFonts w:hint="eastAsia" w:eastAsiaTheme="minorEastAsia"/>
          <w:lang w:val="en-US" w:eastAsia="zh-CN"/>
        </w:rPr>
      </w:pPr>
      <w:r>
        <w:rPr>
          <w:b/>
          <w:sz w:val="36"/>
        </w:rPr>
        <w:t>需求</w:t>
      </w:r>
      <w:r>
        <w:rPr>
          <w:rFonts w:hint="eastAsia"/>
          <w:b/>
          <w:sz w:val="36"/>
          <w:lang w:val="en-US" w:eastAsia="zh-CN"/>
        </w:rPr>
        <w:t>书</w:t>
      </w:r>
    </w:p>
    <w:p w14:paraId="127B1F49">
      <w:pPr>
        <w:pStyle w:val="4"/>
        <w:rPr>
          <w:rFonts w:hint="default"/>
        </w:rPr>
      </w:pPr>
      <w:r>
        <w:rPr>
          <w:b/>
          <w:sz w:val="28"/>
        </w:rPr>
        <w:t>一、项目概况：</w:t>
      </w:r>
    </w:p>
    <w:p w14:paraId="186BF4C9">
      <w:pPr>
        <w:pStyle w:val="4"/>
        <w:jc w:val="both"/>
        <w:outlineLvl w:val="2"/>
        <w:rPr>
          <w:rFonts w:hint="default"/>
        </w:rPr>
      </w:pPr>
      <w:r>
        <w:rPr>
          <w:b/>
          <w:sz w:val="21"/>
        </w:rPr>
        <w:t>1、项目背景</w:t>
      </w:r>
    </w:p>
    <w:p w14:paraId="009A7E84">
      <w:pPr>
        <w:pStyle w:val="4"/>
        <w:ind w:firstLine="420"/>
        <w:jc w:val="both"/>
        <w:rPr>
          <w:rFonts w:hint="default"/>
        </w:rPr>
      </w:pPr>
      <w:r>
        <w:rPr>
          <w:sz w:val="21"/>
        </w:rPr>
        <w:t>广州新中轴海珠片区作为广州市四大重点片区之一，片区城市更新改造工作是广州贯彻落实国家关于城中村改造等“三大工程”建设的展示窗口，是推动广州城市历史中轴、新中轴、活力创新轴“三轴”融合互动的重要抓手，更是面向第十五届全运会全面展现广州发展活力、魅力和创新力的重要举措。红卫片区作为新中轴海珠片区的重要组成部分，承担着贯通轴线、打通海珠东西部联通特别是广州人工智能与数字经济试验区琶洲核心片区融入海珠整体发展的任务。为贯彻市委、市政府对城市品质提升工作等相关要求及对新中轴贯通工作相关部署，大力推进城中村改造，特开展本项目。</w:t>
      </w:r>
    </w:p>
    <w:p w14:paraId="41F449F9">
      <w:pPr>
        <w:pStyle w:val="4"/>
        <w:jc w:val="both"/>
        <w:outlineLvl w:val="2"/>
        <w:rPr>
          <w:rFonts w:hint="default"/>
        </w:rPr>
      </w:pPr>
      <w:r>
        <w:rPr>
          <w:b/>
          <w:sz w:val="21"/>
        </w:rPr>
        <w:t>2、费用预算：¥26,000,000.00元（大写：人民币贰仟陆佰万元整）</w:t>
      </w:r>
    </w:p>
    <w:p w14:paraId="53C69BE4">
      <w:pPr>
        <w:pStyle w:val="4"/>
        <w:jc w:val="both"/>
        <w:outlineLvl w:val="2"/>
        <w:rPr>
          <w:rFonts w:hint="default"/>
        </w:rPr>
      </w:pPr>
      <w:r>
        <w:rPr>
          <w:b/>
          <w:sz w:val="21"/>
        </w:rPr>
        <w:t>3、规划范围</w:t>
      </w:r>
    </w:p>
    <w:p w14:paraId="0557553F">
      <w:pPr>
        <w:pStyle w:val="4"/>
        <w:ind w:firstLine="420"/>
        <w:jc w:val="both"/>
        <w:rPr>
          <w:rFonts w:hint="default"/>
        </w:rPr>
      </w:pPr>
      <w:r>
        <w:rPr>
          <w:sz w:val="21"/>
        </w:rPr>
        <w:t>本项目位于海珠中部，主要位于广州琶洲人工智能与数字经济试验区琶洲核心片区内，并涉及中大国际创新生态谷、环海珠湿地价值圈部分区域。</w:t>
      </w:r>
    </w:p>
    <w:p w14:paraId="026DF615">
      <w:pPr>
        <w:pStyle w:val="4"/>
        <w:ind w:firstLine="420" w:firstLineChars="200"/>
        <w:jc w:val="both"/>
        <w:rPr>
          <w:rFonts w:hint="default"/>
        </w:rPr>
      </w:pPr>
      <w:r>
        <w:rPr>
          <w:sz w:val="21"/>
        </w:rPr>
        <w:t>红卫村改造实施范围包括红卫村和周边整合旧厂房，共计128.65公顷。红卫片区城市更新单元范围结合上位规划与改造范围划定，共计355.80公顷。改造范围、更新单元范围可结合实际工作推进情况微调。</w:t>
      </w:r>
    </w:p>
    <w:p w14:paraId="4F862CD7">
      <w:pPr>
        <w:pStyle w:val="4"/>
        <w:jc w:val="both"/>
        <w:rPr>
          <w:rFonts w:hint="default"/>
        </w:rPr>
      </w:pPr>
      <w:r>
        <w:drawing>
          <wp:inline distT="0" distB="0" distL="0" distR="0">
            <wp:extent cx="5143500" cy="4029075"/>
            <wp:effectExtent l="0" t="0" r="0" b="9525"/>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4"/>
                    <a:stretch>
                      <a:fillRect/>
                    </a:stretch>
                  </pic:blipFill>
                  <pic:spPr>
                    <a:xfrm>
                      <a:off x="0" y="0"/>
                      <a:ext cx="5143500" cy="4029075"/>
                    </a:xfrm>
                    <a:prstGeom prst="rect">
                      <a:avLst/>
                    </a:prstGeom>
                  </pic:spPr>
                </pic:pic>
              </a:graphicData>
            </a:graphic>
          </wp:inline>
        </w:drawing>
      </w:r>
    </w:p>
    <w:p w14:paraId="69730A33">
      <w:pPr>
        <w:pStyle w:val="4"/>
        <w:jc w:val="center"/>
        <w:rPr>
          <w:rFonts w:hint="default"/>
        </w:rPr>
      </w:pPr>
      <w:r>
        <w:rPr>
          <w:sz w:val="21"/>
        </w:rPr>
        <w:t>规划范围示意图</w:t>
      </w:r>
    </w:p>
    <w:p w14:paraId="7D5B2C0D">
      <w:pPr>
        <w:pStyle w:val="4"/>
        <w:spacing w:before="255" w:after="255"/>
        <w:outlineLvl w:val="1"/>
        <w:rPr>
          <w:rFonts w:hint="default"/>
        </w:rPr>
      </w:pPr>
      <w:r>
        <w:rPr>
          <w:b/>
          <w:sz w:val="21"/>
        </w:rPr>
        <w:t>二、工作内容及要求</w:t>
      </w:r>
    </w:p>
    <w:p w14:paraId="2DB5F3A6">
      <w:pPr>
        <w:pStyle w:val="4"/>
        <w:jc w:val="both"/>
        <w:outlineLvl w:val="2"/>
        <w:rPr>
          <w:rFonts w:hint="default"/>
        </w:rPr>
      </w:pPr>
      <w:r>
        <w:rPr>
          <w:b/>
          <w:sz w:val="21"/>
        </w:rPr>
        <w:t>1、工作内容</w:t>
      </w:r>
    </w:p>
    <w:p w14:paraId="3850E3C6">
      <w:pPr>
        <w:pStyle w:val="4"/>
        <w:ind w:firstLine="420"/>
        <w:jc w:val="both"/>
        <w:rPr>
          <w:rFonts w:hint="default"/>
        </w:rPr>
      </w:pPr>
      <w:r>
        <w:rPr>
          <w:sz w:val="21"/>
        </w:rPr>
        <w:t>本项目主要包括：城中村改造与实施方案（包括红卫村城中村改造方案、红卫村实施方案、地下空间规划专项研究、产业发展评估、城中村改造全生命周期数智化平台）、</w:t>
      </w:r>
      <w:bookmarkStart w:id="0" w:name="_Hlk211268406"/>
      <w:r>
        <w:rPr>
          <w:sz w:val="21"/>
        </w:rPr>
        <w:t>相关专项评估与咨询服务</w:t>
      </w:r>
      <w:bookmarkEnd w:id="0"/>
      <w:r>
        <w:rPr>
          <w:sz w:val="21"/>
        </w:rPr>
        <w:t>（包括综合交通规划及分期实施规划、交通影响评估、市政基础设施专项规划、市政基础设施实施评估、重大决策社会稳定风险评估、环境影响评价、历史文化遗产保护评估、海绵城市（洪涝安全评估）专题、地质灾害危险性评估、土壤环境污染整体排查及启动区初步调查、第一阶段树木保护专章报告、项目全流程咨询与服务）、单元详规及重要支撑（包括红卫片区城市更新单元详细规划、红卫片区城市设计）3大板块的1</w:t>
      </w:r>
      <w:r>
        <w:rPr>
          <w:sz w:val="21"/>
          <w:lang w:eastAsia="zh-CN"/>
        </w:rPr>
        <w:t>9</w:t>
      </w:r>
      <w:r>
        <w:rPr>
          <w:sz w:val="21"/>
        </w:rPr>
        <w:t>项工作内容。具体工作任务如下：</w:t>
      </w:r>
    </w:p>
    <w:p w14:paraId="123EECD0">
      <w:pPr>
        <w:pStyle w:val="4"/>
        <w:spacing w:before="120" w:after="180"/>
        <w:jc w:val="both"/>
        <w:outlineLvl w:val="3"/>
        <w:rPr>
          <w:rFonts w:hint="default"/>
        </w:rPr>
      </w:pPr>
      <w:r>
        <w:rPr>
          <w:b/>
          <w:sz w:val="21"/>
        </w:rPr>
        <w:t>1.1 城中村改造与实施方案</w:t>
      </w:r>
    </w:p>
    <w:p w14:paraId="130F9ECA">
      <w:pPr>
        <w:pStyle w:val="4"/>
        <w:ind w:firstLine="420"/>
        <w:jc w:val="both"/>
        <w:rPr>
          <w:rFonts w:hint="default"/>
        </w:rPr>
      </w:pPr>
      <w:r>
        <w:rPr>
          <w:sz w:val="21"/>
        </w:rPr>
        <w:t>根据《广州市城中村改造方案编制和报批工作指引》与项目实操，按工作阶段分为红卫村城中村改造方案、红卫村实施方案（含实施计划与项目清单）、地下空间规划专项研究、产业发展评估、城中村改造全生命周期数智化平台5项工作内容。</w:t>
      </w:r>
    </w:p>
    <w:p w14:paraId="594B59D6">
      <w:pPr>
        <w:pStyle w:val="4"/>
        <w:ind w:firstLine="422"/>
        <w:jc w:val="both"/>
        <w:rPr>
          <w:rFonts w:hint="default"/>
        </w:rPr>
      </w:pPr>
      <w:r>
        <w:rPr>
          <w:b/>
          <w:sz w:val="21"/>
        </w:rPr>
        <w:t>（1）红卫村城中村改造方案</w:t>
      </w:r>
    </w:p>
    <w:p w14:paraId="3AC25842">
      <w:pPr>
        <w:pStyle w:val="4"/>
        <w:ind w:firstLine="420"/>
        <w:jc w:val="both"/>
        <w:rPr>
          <w:rFonts w:hint="default"/>
        </w:rPr>
      </w:pPr>
      <w:r>
        <w:rPr>
          <w:sz w:val="21"/>
        </w:rPr>
        <w:t>对红卫片区的改造方式、改造范围、建设规模和标准、建设时序、资金平衡和运营管理等方面作出安排和指引，明确改造实施的各项要求、协调各方利益。改造方案须达到《广州市城中村改造方案编制和报批工作指引》的深度要求。主要工作内容包括：</w:t>
      </w:r>
    </w:p>
    <w:p w14:paraId="4CC0BCEF">
      <w:pPr>
        <w:pStyle w:val="4"/>
        <w:ind w:firstLine="420"/>
        <w:jc w:val="both"/>
        <w:rPr>
          <w:rFonts w:hint="default"/>
        </w:rPr>
      </w:pPr>
      <w:r>
        <w:rPr>
          <w:sz w:val="21"/>
        </w:rPr>
        <w:t>1）区位和编制背景。包括区位分析、项目背景、编制过程和编制依据。</w:t>
      </w:r>
    </w:p>
    <w:p w14:paraId="191CF850">
      <w:pPr>
        <w:pStyle w:val="4"/>
        <w:ind w:firstLine="420"/>
        <w:jc w:val="both"/>
        <w:rPr>
          <w:rFonts w:hint="default"/>
        </w:rPr>
      </w:pPr>
      <w:r>
        <w:rPr>
          <w:sz w:val="21"/>
        </w:rPr>
        <w:t>2）现状分析。根据城中村专项体检结果、基础数据调查成果和现场踏勘情况，对城中村人口、经济、产业、用地、建筑及相关配套设施和资源现状进行分析。</w:t>
      </w:r>
    </w:p>
    <w:p w14:paraId="076EE697">
      <w:pPr>
        <w:pStyle w:val="4"/>
        <w:ind w:firstLine="420"/>
        <w:jc w:val="both"/>
        <w:rPr>
          <w:rFonts w:hint="default"/>
        </w:rPr>
      </w:pPr>
      <w:r>
        <w:rPr>
          <w:sz w:val="21"/>
        </w:rPr>
        <w:t>3）相关规划和计划。衔接国民经济和社会发展规划、国土空间总体规划、相关专项规划、详细规划，对接城中村改造中长期建设计划、年度计划以及生态保护廊道、工业产业区块等要求。</w:t>
      </w:r>
    </w:p>
    <w:p w14:paraId="4490D3F2">
      <w:pPr>
        <w:pStyle w:val="4"/>
        <w:ind w:firstLine="420"/>
        <w:jc w:val="both"/>
        <w:rPr>
          <w:rFonts w:hint="default"/>
        </w:rPr>
      </w:pPr>
      <w:r>
        <w:rPr>
          <w:sz w:val="21"/>
        </w:rPr>
        <w:t>4）改造方式和改造主体。根据相关规划和计划要求，结合城中村专项体检结果及现状分析结论，明确城中村改造方式和改造主体。</w:t>
      </w:r>
    </w:p>
    <w:p w14:paraId="031FC163">
      <w:pPr>
        <w:pStyle w:val="4"/>
        <w:ind w:firstLine="420"/>
        <w:jc w:val="both"/>
        <w:rPr>
          <w:rFonts w:hint="default"/>
        </w:rPr>
      </w:pPr>
      <w:r>
        <w:rPr>
          <w:sz w:val="21"/>
        </w:rPr>
        <w:t>5）依据社会经济发展需求与上层次规划要求，结合区域发展情况，提出城中村发展定位，明确城中村改造在公共服务设施、市政基础设施、产业发展、居住品质、生态环境、历史文化保护等方面的目标。</w:t>
      </w:r>
    </w:p>
    <w:p w14:paraId="744A979A">
      <w:pPr>
        <w:pStyle w:val="4"/>
        <w:ind w:firstLine="420"/>
        <w:jc w:val="both"/>
        <w:rPr>
          <w:rFonts w:hint="default"/>
        </w:rPr>
      </w:pPr>
      <w:r>
        <w:rPr>
          <w:sz w:val="21"/>
        </w:rPr>
        <w:t>6）改造建设方案。包括拆迁规模、建设布局、复建安置、保障性住房、公共服务设施和基础设施、土地整理与供应方案、建筑废弃物再利用方案。</w:t>
      </w:r>
    </w:p>
    <w:p w14:paraId="6CA6E854">
      <w:pPr>
        <w:pStyle w:val="4"/>
        <w:ind w:firstLine="420"/>
        <w:jc w:val="both"/>
        <w:rPr>
          <w:rFonts w:hint="default"/>
        </w:rPr>
      </w:pPr>
      <w:r>
        <w:rPr>
          <w:sz w:val="21"/>
        </w:rPr>
        <w:t>7）产业发展指引。依据国民经济和社会发展规划、产业发展规划，结合周边地区功能定位，评估城中村产业发展现状、发展条件，分析产业发展的需求和供给潜力，并结合城中村改造提出产业升级、产业规模、产业布局的建议，以及产业搬迁实施路径。</w:t>
      </w:r>
    </w:p>
    <w:p w14:paraId="5A2BD952">
      <w:pPr>
        <w:pStyle w:val="4"/>
        <w:ind w:firstLine="420"/>
        <w:jc w:val="both"/>
        <w:rPr>
          <w:rFonts w:hint="default"/>
        </w:rPr>
      </w:pPr>
      <w:r>
        <w:rPr>
          <w:sz w:val="21"/>
        </w:rPr>
        <w:t>8）历史文化和树木保护指引。包括历史文化资源保护、树木保护。</w:t>
      </w:r>
    </w:p>
    <w:p w14:paraId="5F3D13E7">
      <w:pPr>
        <w:pStyle w:val="4"/>
        <w:ind w:firstLine="420"/>
        <w:jc w:val="both"/>
        <w:rPr>
          <w:rFonts w:hint="default"/>
        </w:rPr>
      </w:pPr>
      <w:r>
        <w:rPr>
          <w:sz w:val="21"/>
        </w:rPr>
        <w:t>9）投资估算和资金筹措。包括改造成本匡算、改造收益测算、资金平衡方案、资金筹措。</w:t>
      </w:r>
    </w:p>
    <w:p w14:paraId="45315B16">
      <w:pPr>
        <w:pStyle w:val="4"/>
        <w:ind w:firstLine="420"/>
        <w:jc w:val="both"/>
        <w:rPr>
          <w:rFonts w:hint="default"/>
        </w:rPr>
      </w:pPr>
      <w:r>
        <w:rPr>
          <w:sz w:val="21"/>
        </w:rPr>
        <w:t>10）项目实施计划。对征地拆迁、管线迁改、安置房、公建配套、市政配套和经济平衡等统筹分析研究，制定项目近期、中期、远期实施计划（含项目清单），明确各项目名称、主管部门、建设单位、建设时序、静态总投资和资金来源等，做好风险防控并制定保障措施。</w:t>
      </w:r>
    </w:p>
    <w:p w14:paraId="1180307D">
      <w:pPr>
        <w:pStyle w:val="4"/>
        <w:ind w:firstLine="420"/>
        <w:jc w:val="both"/>
        <w:rPr>
          <w:rFonts w:hint="default"/>
        </w:rPr>
      </w:pPr>
      <w:r>
        <w:rPr>
          <w:sz w:val="21"/>
        </w:rPr>
        <w:t>11）综合效益。包括社会效益、经济效益、环境效益、文化效益。</w:t>
      </w:r>
    </w:p>
    <w:p w14:paraId="7DD0E88C">
      <w:pPr>
        <w:pStyle w:val="4"/>
        <w:ind w:firstLine="420"/>
        <w:jc w:val="both"/>
        <w:rPr>
          <w:rFonts w:hint="default"/>
        </w:rPr>
      </w:pPr>
      <w:r>
        <w:rPr>
          <w:sz w:val="21"/>
        </w:rPr>
        <w:t>12）专题分析。</w:t>
      </w:r>
    </w:p>
    <w:p w14:paraId="52764B74">
      <w:pPr>
        <w:pStyle w:val="4"/>
        <w:ind w:firstLine="420"/>
        <w:jc w:val="both"/>
        <w:rPr>
          <w:rFonts w:hint="default"/>
        </w:rPr>
      </w:pPr>
      <w:r>
        <w:rPr>
          <w:sz w:val="21"/>
        </w:rPr>
        <w:t>成果内容：包括说明书、图集和附件。</w:t>
      </w:r>
    </w:p>
    <w:p w14:paraId="1F398014">
      <w:pPr>
        <w:pStyle w:val="4"/>
        <w:ind w:firstLine="422"/>
        <w:jc w:val="both"/>
        <w:rPr>
          <w:rFonts w:hint="default"/>
        </w:rPr>
      </w:pPr>
      <w:r>
        <w:rPr>
          <w:b/>
          <w:sz w:val="21"/>
        </w:rPr>
        <w:t>（2）红卫村实施方案（含实施计划与项目清单）</w:t>
      </w:r>
    </w:p>
    <w:p w14:paraId="7BF3380F">
      <w:pPr>
        <w:pStyle w:val="4"/>
        <w:ind w:firstLine="420"/>
        <w:jc w:val="both"/>
        <w:rPr>
          <w:rFonts w:hint="default"/>
        </w:rPr>
      </w:pPr>
      <w:r>
        <w:rPr>
          <w:sz w:val="21"/>
        </w:rPr>
        <w:t>面向分期实施进行深入研究。主要工作内容包括项目概况、项目规划情况、经济平衡测算、项目实施清单与计划、项目组团实施计划、资金平衡计划、保障措施和附件。改造实施计划须达到《广州市城中村改造建设指挥部办公室关于印发城中村改造实施计划（模版）的通知》的深度要求，作为下一步指导项目实施的重要依据。</w:t>
      </w:r>
    </w:p>
    <w:p w14:paraId="3CBA8B84">
      <w:pPr>
        <w:pStyle w:val="4"/>
        <w:ind w:firstLine="420"/>
        <w:jc w:val="both"/>
        <w:rPr>
          <w:rFonts w:hint="default"/>
        </w:rPr>
      </w:pPr>
      <w:r>
        <w:rPr>
          <w:sz w:val="21"/>
        </w:rPr>
        <w:t>成果内容：包括说明书、图集、实施计划与项目清单、附件。</w:t>
      </w:r>
    </w:p>
    <w:p w14:paraId="5B87085D">
      <w:pPr>
        <w:pStyle w:val="4"/>
        <w:ind w:firstLine="422"/>
        <w:jc w:val="both"/>
        <w:rPr>
          <w:rFonts w:hint="default"/>
        </w:rPr>
      </w:pPr>
      <w:r>
        <w:rPr>
          <w:b/>
          <w:sz w:val="21"/>
        </w:rPr>
        <w:t>（3）地下空间规划专项研究</w:t>
      </w:r>
    </w:p>
    <w:p w14:paraId="6658C793">
      <w:pPr>
        <w:pStyle w:val="4"/>
        <w:ind w:firstLine="420"/>
        <w:jc w:val="both"/>
        <w:rPr>
          <w:rFonts w:hint="default"/>
        </w:rPr>
      </w:pPr>
      <w:r>
        <w:rPr>
          <w:sz w:val="21"/>
        </w:rPr>
        <w:t>重点研究绿轴及周边地块约21公顷（以最终实际面积为准）范围地下空间，主要工作内容包括：</w:t>
      </w:r>
    </w:p>
    <w:p w14:paraId="76ED52E7">
      <w:pPr>
        <w:pStyle w:val="4"/>
        <w:ind w:firstLine="420"/>
        <w:jc w:val="both"/>
        <w:rPr>
          <w:rFonts w:hint="default"/>
        </w:rPr>
      </w:pPr>
      <w:r>
        <w:rPr>
          <w:sz w:val="21"/>
        </w:rPr>
        <w:t>1）现状及规划分析：对项目现状地下空间情况进行摸查，收集地下交通设施、地下商业与公共服务设施情况。并对地下空间存在问题进行梳理总结。</w:t>
      </w:r>
    </w:p>
    <w:p w14:paraId="09925577">
      <w:pPr>
        <w:pStyle w:val="4"/>
        <w:ind w:firstLine="420"/>
        <w:jc w:val="both"/>
        <w:rPr>
          <w:rFonts w:hint="default"/>
        </w:rPr>
      </w:pPr>
      <w:r>
        <w:rPr>
          <w:sz w:val="21"/>
        </w:rPr>
        <w:t>2）地下空间资源适建性评估及需求预测：基于底线管控要求，划分地下空间适宜建设区，并合理预测地下空间需求规模量。</w:t>
      </w:r>
    </w:p>
    <w:p w14:paraId="4DE57F49">
      <w:pPr>
        <w:pStyle w:val="4"/>
        <w:ind w:firstLine="420"/>
        <w:jc w:val="both"/>
        <w:rPr>
          <w:rFonts w:hint="default"/>
        </w:rPr>
      </w:pPr>
      <w:r>
        <w:rPr>
          <w:sz w:val="21"/>
        </w:rPr>
        <w:t>3）地下空间总体布局方案：明确地下空间总体布局，提出地下空间资源功能分区与发展策略。</w:t>
      </w:r>
    </w:p>
    <w:p w14:paraId="7850F12D">
      <w:pPr>
        <w:pStyle w:val="4"/>
        <w:ind w:firstLine="420"/>
        <w:jc w:val="both"/>
        <w:rPr>
          <w:rFonts w:hint="default"/>
        </w:rPr>
      </w:pPr>
      <w:r>
        <w:rPr>
          <w:sz w:val="21"/>
        </w:rPr>
        <w:t>4）地下空间专项系统规划：提出地下道路交通设施、地下商服设施及地下综合防灾总体要求。</w:t>
      </w:r>
    </w:p>
    <w:p w14:paraId="54414D7F">
      <w:pPr>
        <w:pStyle w:val="4"/>
        <w:ind w:firstLine="420"/>
        <w:jc w:val="both"/>
        <w:rPr>
          <w:rFonts w:hint="default"/>
        </w:rPr>
      </w:pPr>
      <w:r>
        <w:rPr>
          <w:sz w:val="21"/>
        </w:rPr>
        <w:t>成果内容：以专章形式纳入改造方案。</w:t>
      </w:r>
    </w:p>
    <w:p w14:paraId="6846EE9B">
      <w:pPr>
        <w:pStyle w:val="4"/>
        <w:ind w:firstLine="422"/>
        <w:jc w:val="both"/>
        <w:rPr>
          <w:rFonts w:hint="default"/>
        </w:rPr>
      </w:pPr>
      <w:r>
        <w:rPr>
          <w:b/>
          <w:sz w:val="21"/>
        </w:rPr>
        <w:t>（4）产业发展评估</w:t>
      </w:r>
    </w:p>
    <w:p w14:paraId="043C989D">
      <w:pPr>
        <w:pStyle w:val="4"/>
        <w:ind w:firstLine="420"/>
        <w:jc w:val="both"/>
        <w:rPr>
          <w:rFonts w:hint="default"/>
        </w:rPr>
      </w:pPr>
      <w:r>
        <w:rPr>
          <w:sz w:val="21"/>
        </w:rPr>
        <w:t>开展城中村现状产业载体情况、产业发展现状及城中村产业发展趋势现状摸查，总结片区产业发展问题及困境。结合国民经济和社会发展规划、产业发展规划的研究，提出改造项目产业定位、产业体系及发展目标。进一步提出产业发展策略、产业空间布局及产业发展指引。并在产业发展选择的基础上，建立产业升级与城市更新的互动计划，制定城中村产业迁移、产业升级、产业导入的实施计划。主要工作内容包括：</w:t>
      </w:r>
    </w:p>
    <w:p w14:paraId="23B76C85">
      <w:pPr>
        <w:pStyle w:val="4"/>
        <w:ind w:firstLine="420"/>
        <w:jc w:val="both"/>
        <w:rPr>
          <w:rFonts w:hint="default"/>
        </w:rPr>
      </w:pPr>
      <w:r>
        <w:rPr>
          <w:sz w:val="21"/>
        </w:rPr>
        <w:t>1）现状摸查</w:t>
      </w:r>
    </w:p>
    <w:p w14:paraId="4ECAE79B">
      <w:pPr>
        <w:pStyle w:val="4"/>
        <w:ind w:firstLine="420"/>
        <w:jc w:val="both"/>
        <w:rPr>
          <w:rFonts w:hint="default"/>
        </w:rPr>
      </w:pPr>
      <w:r>
        <w:rPr>
          <w:sz w:val="21"/>
        </w:rPr>
        <w:t>2）上位规划及相关规划研究</w:t>
      </w:r>
    </w:p>
    <w:p w14:paraId="5924157A">
      <w:pPr>
        <w:pStyle w:val="4"/>
        <w:ind w:firstLine="420"/>
        <w:jc w:val="both"/>
        <w:rPr>
          <w:rFonts w:hint="default"/>
        </w:rPr>
      </w:pPr>
      <w:r>
        <w:rPr>
          <w:sz w:val="21"/>
        </w:rPr>
        <w:t>3）产业发展定位及体系</w:t>
      </w:r>
    </w:p>
    <w:p w14:paraId="5858BFF0">
      <w:pPr>
        <w:pStyle w:val="4"/>
        <w:ind w:firstLine="420"/>
        <w:jc w:val="both"/>
        <w:rPr>
          <w:rFonts w:hint="default"/>
        </w:rPr>
      </w:pPr>
      <w:r>
        <w:rPr>
          <w:sz w:val="21"/>
        </w:rPr>
        <w:t>4）产业发展策略</w:t>
      </w:r>
    </w:p>
    <w:p w14:paraId="5FC83320">
      <w:pPr>
        <w:pStyle w:val="4"/>
        <w:ind w:firstLine="420"/>
        <w:jc w:val="both"/>
        <w:rPr>
          <w:rFonts w:hint="default"/>
        </w:rPr>
      </w:pPr>
      <w:r>
        <w:rPr>
          <w:sz w:val="21"/>
        </w:rPr>
        <w:t>5）产业空间布局</w:t>
      </w:r>
    </w:p>
    <w:p w14:paraId="1E5E43C5">
      <w:pPr>
        <w:pStyle w:val="4"/>
        <w:ind w:firstLine="420"/>
        <w:jc w:val="both"/>
        <w:rPr>
          <w:rFonts w:hint="default"/>
        </w:rPr>
      </w:pPr>
      <w:r>
        <w:rPr>
          <w:sz w:val="21"/>
        </w:rPr>
        <w:t>6）产业实施计划。</w:t>
      </w:r>
    </w:p>
    <w:p w14:paraId="215A9AAF">
      <w:pPr>
        <w:pStyle w:val="4"/>
        <w:ind w:firstLine="420"/>
        <w:jc w:val="both"/>
        <w:rPr>
          <w:rFonts w:hint="default"/>
        </w:rPr>
      </w:pPr>
      <w:r>
        <w:rPr>
          <w:sz w:val="21"/>
        </w:rPr>
        <w:t>成果内容：以专章形式纳入改造方案，并形成1份专题报告。</w:t>
      </w:r>
    </w:p>
    <w:p w14:paraId="2BECF54E">
      <w:pPr>
        <w:pStyle w:val="4"/>
        <w:ind w:firstLine="422"/>
        <w:jc w:val="both"/>
        <w:rPr>
          <w:rFonts w:hint="default"/>
        </w:rPr>
      </w:pPr>
      <w:r>
        <w:rPr>
          <w:b/>
          <w:sz w:val="21"/>
        </w:rPr>
        <w:t>（5）城中村改造全生命周期数智化平台</w:t>
      </w:r>
    </w:p>
    <w:p w14:paraId="3C8B80FC">
      <w:pPr>
        <w:pStyle w:val="4"/>
        <w:ind w:firstLine="420"/>
        <w:jc w:val="both"/>
        <w:rPr>
          <w:rFonts w:hint="default"/>
        </w:rPr>
      </w:pPr>
      <w:r>
        <w:rPr>
          <w:sz w:val="21"/>
        </w:rPr>
        <w:t>结合新中轴海珠片区城中村改造实际需要，通过数字赋能，搭建多元场景应用的全生命周期数智化平台，实现现状动态式追踪治理、沉浸式建设方案展示和渐进式规划实施管控三大目标。搭建数智化基础平台，包含服务门户、数据接入系统、数据融合系统、数据管理系统、数据可视化系统、运维管理系统、平台与其他系统对接功能等（不包含每年度维护工作）。</w:t>
      </w:r>
    </w:p>
    <w:p w14:paraId="4EE0209B">
      <w:pPr>
        <w:pStyle w:val="4"/>
        <w:ind w:firstLine="420"/>
        <w:jc w:val="both"/>
        <w:rPr>
          <w:rFonts w:hint="default"/>
        </w:rPr>
      </w:pPr>
      <w:r>
        <w:rPr>
          <w:sz w:val="21"/>
        </w:rPr>
        <w:t>1）搭建数智化基础平台，包含服务门户、数据接入系统、数据融合系统、数据管理系统、数据可视化系统、运维管理系统、平台与其他系统对接功能等（不包含每年度维护工作）。</w:t>
      </w:r>
    </w:p>
    <w:p w14:paraId="074FCB14">
      <w:pPr>
        <w:pStyle w:val="4"/>
        <w:ind w:firstLine="420"/>
        <w:jc w:val="both"/>
        <w:rPr>
          <w:rFonts w:hint="default"/>
        </w:rPr>
      </w:pPr>
      <w:r>
        <w:rPr>
          <w:sz w:val="21"/>
        </w:rPr>
        <w:t>2）现状基础数据平台。梳理各种现状资源数据，包括人口数据、土地权属、现状房屋、经济数据等，汇总成统一的数据库，方便数据管理、查询、调取及可视化展示，提升项目管理的效率和决策的科学性。</w:t>
      </w:r>
    </w:p>
    <w:p w14:paraId="1B2E7FE8">
      <w:pPr>
        <w:pStyle w:val="4"/>
        <w:ind w:firstLine="420"/>
        <w:jc w:val="both"/>
        <w:rPr>
          <w:rFonts w:hint="default"/>
        </w:rPr>
      </w:pPr>
      <w:r>
        <w:rPr>
          <w:sz w:val="21"/>
        </w:rPr>
        <w:t>3）三维数字耦合平台。通过规划方案实景融入的方式直观呈现改造项目各地块规划指标、预期建成效果等，并按照项目进展实时更新。</w:t>
      </w:r>
    </w:p>
    <w:p w14:paraId="61ED9F40">
      <w:pPr>
        <w:pStyle w:val="4"/>
        <w:ind w:firstLine="420"/>
        <w:jc w:val="both"/>
        <w:rPr>
          <w:rFonts w:hint="default"/>
        </w:rPr>
      </w:pPr>
      <w:r>
        <w:rPr>
          <w:sz w:val="21"/>
        </w:rPr>
        <w:t>4）实施运营管理平台。实时追踪监测城中村改造项目的征拆、建设进度，更好地辅助项目实施决策与运营管理，实现资源的优化配置。</w:t>
      </w:r>
    </w:p>
    <w:p w14:paraId="74034E63">
      <w:pPr>
        <w:pStyle w:val="4"/>
        <w:ind w:firstLine="420"/>
        <w:jc w:val="both"/>
        <w:rPr>
          <w:rFonts w:hint="default"/>
        </w:rPr>
      </w:pPr>
      <w:r>
        <w:rPr>
          <w:sz w:val="21"/>
        </w:rPr>
        <w:t>成果内容：形成“1+3+N”工作成果，搭建1个数智化基础平台、现状基础数据平台、三维数字耦合平台、实施运营管理平台3个子平台、N个定制化功能模块。</w:t>
      </w:r>
    </w:p>
    <w:p w14:paraId="3DE31AA2">
      <w:pPr>
        <w:pStyle w:val="4"/>
        <w:spacing w:before="120" w:after="180"/>
        <w:jc w:val="both"/>
        <w:outlineLvl w:val="3"/>
        <w:rPr>
          <w:rFonts w:hint="default"/>
          <w:lang w:eastAsia="zh-CN"/>
        </w:rPr>
      </w:pPr>
      <w:r>
        <w:rPr>
          <w:b/>
          <w:sz w:val="21"/>
        </w:rPr>
        <w:t>1.2 相关专项评估与咨询服务</w:t>
      </w:r>
    </w:p>
    <w:p w14:paraId="4C819DA1">
      <w:pPr>
        <w:pStyle w:val="4"/>
        <w:ind w:left="420"/>
        <w:rPr>
          <w:rFonts w:hint="default"/>
        </w:rPr>
      </w:pPr>
      <w:r>
        <w:rPr>
          <w:b/>
          <w:sz w:val="21"/>
        </w:rPr>
        <w:t>（1）综合交通规划及分期实施规划</w:t>
      </w:r>
    </w:p>
    <w:p w14:paraId="23890F18">
      <w:pPr>
        <w:pStyle w:val="4"/>
        <w:ind w:firstLine="420"/>
        <w:jc w:val="both"/>
        <w:rPr>
          <w:rFonts w:hint="default"/>
        </w:rPr>
      </w:pPr>
      <w:r>
        <w:rPr>
          <w:sz w:val="21"/>
        </w:rPr>
        <w:t>1）现状及既有规划分析：对项目周边进行现场踏勘，收集项目地块所在地区周边土地利用、交通设施现状情况，包括道路路网、主要道路断面形式、公共交通等。收集整理相关规划资料，掌握区域交通规划情况。</w:t>
      </w:r>
    </w:p>
    <w:p w14:paraId="5C14CAE2">
      <w:pPr>
        <w:pStyle w:val="4"/>
        <w:ind w:firstLine="420"/>
        <w:jc w:val="both"/>
        <w:rPr>
          <w:rFonts w:hint="default"/>
        </w:rPr>
      </w:pPr>
      <w:r>
        <w:rPr>
          <w:sz w:val="21"/>
        </w:rPr>
        <w:t>2）趋势分析与需求预测：梳理说明片区土地开发方案情况，同期内周边地区土地开发情况，开展地区交通需求预测，研判地区未来交通发展挑战。</w:t>
      </w:r>
    </w:p>
    <w:p w14:paraId="24B81EAA">
      <w:pPr>
        <w:pStyle w:val="4"/>
        <w:ind w:firstLine="420"/>
        <w:jc w:val="both"/>
        <w:rPr>
          <w:rFonts w:hint="default"/>
        </w:rPr>
      </w:pPr>
      <w:r>
        <w:rPr>
          <w:sz w:val="21"/>
        </w:rPr>
        <w:t>3）综合交通规划方案研究：提出地区及周边道路、轨道交通、常规公交、停车、慢行等交通设施规划方案。</w:t>
      </w:r>
    </w:p>
    <w:p w14:paraId="467D1C13">
      <w:pPr>
        <w:pStyle w:val="4"/>
        <w:ind w:firstLine="420"/>
        <w:jc w:val="both"/>
        <w:rPr>
          <w:rFonts w:hint="default"/>
        </w:rPr>
      </w:pPr>
      <w:r>
        <w:rPr>
          <w:sz w:val="21"/>
        </w:rPr>
        <w:t>4）分期实施方案：按照“确保刚需、供需匹配、内联外通”原则，结合项目用地开发建设时序，制定片区内、外的交通设施分期建设计划，明确建设规模、投资及实施单位建议，简述必要性项目落实情况。</w:t>
      </w:r>
    </w:p>
    <w:p w14:paraId="48AAE735">
      <w:pPr>
        <w:pStyle w:val="4"/>
        <w:ind w:firstLine="420"/>
        <w:jc w:val="both"/>
        <w:rPr>
          <w:rFonts w:hint="default"/>
        </w:rPr>
      </w:pPr>
      <w:r>
        <w:rPr>
          <w:sz w:val="21"/>
        </w:rPr>
        <w:t>5）分期方案评价：结合用地开发建设时序，分期开展交通影响评估，促进交通设施建设与土地开发相协调。</w:t>
      </w:r>
    </w:p>
    <w:p w14:paraId="5F74C214">
      <w:pPr>
        <w:pStyle w:val="4"/>
        <w:ind w:firstLine="420"/>
        <w:jc w:val="both"/>
        <w:rPr>
          <w:rFonts w:hint="default"/>
        </w:rPr>
      </w:pPr>
      <w:r>
        <w:rPr>
          <w:sz w:val="21"/>
        </w:rPr>
        <w:t>成果内容：形成1份独立的专题报告，并以专章形式纳入改造方案总报告。</w:t>
      </w:r>
    </w:p>
    <w:p w14:paraId="1D4673B3">
      <w:pPr>
        <w:pStyle w:val="4"/>
        <w:ind w:left="420"/>
        <w:rPr>
          <w:rFonts w:hint="default"/>
        </w:rPr>
      </w:pPr>
      <w:r>
        <w:rPr>
          <w:b/>
          <w:sz w:val="21"/>
        </w:rPr>
        <w:t>（2）交通影响评估</w:t>
      </w:r>
    </w:p>
    <w:p w14:paraId="32D16C3A">
      <w:pPr>
        <w:pStyle w:val="4"/>
        <w:ind w:firstLine="420"/>
        <w:jc w:val="both"/>
        <w:rPr>
          <w:rFonts w:hint="default"/>
        </w:rPr>
      </w:pPr>
      <w:r>
        <w:rPr>
          <w:sz w:val="21"/>
        </w:rPr>
        <w:t>1）现状调查：通过现场调研、资料搜集，对现状土地利用、交通需求特征、道路交通、公共交通、停车设施、慢行交通等系统现状布局情况及存在的问题进行分析研究。</w:t>
      </w:r>
    </w:p>
    <w:p w14:paraId="2731AA83">
      <w:pPr>
        <w:pStyle w:val="4"/>
        <w:ind w:firstLine="420"/>
        <w:jc w:val="both"/>
        <w:rPr>
          <w:rFonts w:hint="default"/>
        </w:rPr>
      </w:pPr>
      <w:r>
        <w:rPr>
          <w:sz w:val="21"/>
        </w:rPr>
        <w:t>2）既有规划分析：收集、整理综合交通规划、轨道交通规划、道路规划、公交专项规划等相关规划要求，从上位规划分析项目范围交通设施供给，判断对项目的支撑情况。</w:t>
      </w:r>
    </w:p>
    <w:p w14:paraId="37673B55">
      <w:pPr>
        <w:pStyle w:val="4"/>
        <w:ind w:firstLine="420"/>
        <w:jc w:val="both"/>
        <w:rPr>
          <w:rFonts w:hint="default"/>
        </w:rPr>
      </w:pPr>
      <w:r>
        <w:rPr>
          <w:sz w:val="21"/>
        </w:rPr>
        <w:t>3）改造方案分析。分析项目片区改造方案成果的土地利用规划以及交通规划的各项方案情况，作为评估的基础。</w:t>
      </w:r>
    </w:p>
    <w:p w14:paraId="0E5BFA42">
      <w:pPr>
        <w:pStyle w:val="4"/>
        <w:ind w:firstLine="420"/>
        <w:jc w:val="both"/>
        <w:rPr>
          <w:rFonts w:hint="default"/>
        </w:rPr>
      </w:pPr>
      <w:r>
        <w:rPr>
          <w:sz w:val="21"/>
        </w:rPr>
        <w:t>4）交通需求预测：结合改造方案的开发规模、人口和就业岗位等进行需求分析，预测地区交通量产生和出行分布情况。</w:t>
      </w:r>
    </w:p>
    <w:p w14:paraId="799C694D">
      <w:pPr>
        <w:pStyle w:val="4"/>
        <w:ind w:firstLine="420"/>
        <w:jc w:val="both"/>
        <w:rPr>
          <w:rFonts w:hint="default"/>
        </w:rPr>
      </w:pPr>
      <w:r>
        <w:rPr>
          <w:sz w:val="21"/>
        </w:rPr>
        <w:t>5）交通影响评估：针对规划方案对地区发展建设的道路、公交、轨道、停车、慢行等交通系统影响进行评估，分析其能否满足未来交通出行的需要，评估交通承载力是否能够承受方案开发规模。</w:t>
      </w:r>
    </w:p>
    <w:p w14:paraId="00809913">
      <w:pPr>
        <w:pStyle w:val="4"/>
        <w:ind w:firstLine="420"/>
        <w:jc w:val="both"/>
        <w:rPr>
          <w:rFonts w:hint="default"/>
        </w:rPr>
      </w:pPr>
      <w:r>
        <w:rPr>
          <w:sz w:val="21"/>
        </w:rPr>
        <w:t>6）交通优化建议：根据评估的情况，提出交通优化建议，包括道路红线及断面、立交和其他交通设施的规划控制建议以及相关交通设施项目的时序安排建议。</w:t>
      </w:r>
    </w:p>
    <w:p w14:paraId="607D292B">
      <w:pPr>
        <w:pStyle w:val="4"/>
        <w:ind w:firstLine="420"/>
        <w:jc w:val="both"/>
        <w:rPr>
          <w:rFonts w:hint="default"/>
        </w:rPr>
      </w:pPr>
      <w:r>
        <w:rPr>
          <w:sz w:val="21"/>
        </w:rPr>
        <w:t>7）评估的主要结论与建议。</w:t>
      </w:r>
    </w:p>
    <w:p w14:paraId="3CA14A76">
      <w:pPr>
        <w:pStyle w:val="4"/>
        <w:ind w:firstLine="420"/>
        <w:jc w:val="both"/>
        <w:rPr>
          <w:rFonts w:hint="default"/>
        </w:rPr>
      </w:pPr>
      <w:r>
        <w:rPr>
          <w:sz w:val="21"/>
        </w:rPr>
        <w:t>成果内容：形成1份独立的交通影响评估专题报告，相关评估结论及建议纳入改造方案总报告。</w:t>
      </w:r>
    </w:p>
    <w:p w14:paraId="12B26F21">
      <w:pPr>
        <w:pStyle w:val="4"/>
        <w:ind w:left="420"/>
        <w:rPr>
          <w:rFonts w:hint="default"/>
        </w:rPr>
      </w:pPr>
      <w:r>
        <w:rPr>
          <w:b/>
          <w:sz w:val="21"/>
        </w:rPr>
        <w:t>（3）市政基础设施专项规划</w:t>
      </w:r>
    </w:p>
    <w:p w14:paraId="625E0BCB">
      <w:pPr>
        <w:pStyle w:val="4"/>
        <w:ind w:firstLine="420"/>
        <w:jc w:val="both"/>
        <w:rPr>
          <w:rFonts w:hint="default"/>
        </w:rPr>
      </w:pPr>
      <w:r>
        <w:rPr>
          <w:sz w:val="21"/>
        </w:rPr>
        <w:t>根据《广州市城乡规划技术规定》等规划要求，以构建安全韧性、集约高效市政体系为目标，涵盖竖向、给水、排水（雨水、污水）、电力、通信、燃气、集中供冷、环卫、消防、综合管廊等专业，主要工作内容包括；</w:t>
      </w:r>
    </w:p>
    <w:p w14:paraId="4CF75D89">
      <w:pPr>
        <w:pStyle w:val="4"/>
        <w:ind w:firstLine="420"/>
        <w:jc w:val="both"/>
        <w:rPr>
          <w:rFonts w:hint="default"/>
        </w:rPr>
      </w:pPr>
      <w:r>
        <w:rPr>
          <w:sz w:val="21"/>
        </w:rPr>
        <w:t>1）现状分析：分析现状竖向、各专业管线、消防和环卫系统存在问题，从区域视角评价现状市政基础设施供给条件。</w:t>
      </w:r>
    </w:p>
    <w:p w14:paraId="48CC3519">
      <w:pPr>
        <w:pStyle w:val="4"/>
        <w:ind w:firstLine="420"/>
        <w:jc w:val="both"/>
        <w:rPr>
          <w:rFonts w:hint="default"/>
        </w:rPr>
      </w:pPr>
      <w:r>
        <w:rPr>
          <w:sz w:val="21"/>
        </w:rPr>
        <w:t>2）市政需求预测：根据上层次规划、专项规划相关要求和片区发展规模，对给水、排水（雨水、污水）、电力、通信、燃气、供冷、垃圾等进行需求和容量预测。</w:t>
      </w:r>
    </w:p>
    <w:p w14:paraId="5D1DE23D">
      <w:pPr>
        <w:pStyle w:val="4"/>
        <w:ind w:firstLine="420"/>
        <w:jc w:val="both"/>
        <w:rPr>
          <w:rFonts w:hint="default"/>
        </w:rPr>
      </w:pPr>
      <w:r>
        <w:rPr>
          <w:sz w:val="21"/>
        </w:rPr>
        <w:t>3）市政基础设施布局与管网系统规划：据上层次规划要求和规划范围的需求，对市政基础设施场站（给水设施、排水设施、垃圾转运站、消防救援站、变电站、通信设施、集中供冷设施等）进行布局和规模规划，开展给水、燃气、电力、通信、污水、雨水、集中供冷等市政管网系统规划。</w:t>
      </w:r>
    </w:p>
    <w:p w14:paraId="5E7D160D">
      <w:pPr>
        <w:pStyle w:val="4"/>
        <w:ind w:firstLine="420"/>
        <w:jc w:val="both"/>
        <w:rPr>
          <w:rFonts w:hint="default"/>
        </w:rPr>
      </w:pPr>
      <w:r>
        <w:rPr>
          <w:sz w:val="21"/>
        </w:rPr>
        <w:t>4）综合管廊规划：对给水、燃气、电力、通信、污水、雨水、供水管线的系统进行研究，研究入廊管线类型，对综合管廊类型、路由和横断面进行规划。</w:t>
      </w:r>
    </w:p>
    <w:p w14:paraId="7FC3CD08">
      <w:pPr>
        <w:pStyle w:val="4"/>
        <w:ind w:firstLine="420"/>
        <w:jc w:val="both"/>
        <w:rPr>
          <w:rFonts w:hint="default"/>
        </w:rPr>
      </w:pPr>
      <w:r>
        <w:rPr>
          <w:sz w:val="21"/>
        </w:rPr>
        <w:t>5）竖向规划：统筹道路交通、洪涝安全、场地要素、历史文保等要求，明确道路和地块地面高程。</w:t>
      </w:r>
    </w:p>
    <w:p w14:paraId="159DA3B8">
      <w:pPr>
        <w:pStyle w:val="4"/>
        <w:ind w:firstLine="420"/>
        <w:jc w:val="both"/>
        <w:rPr>
          <w:rFonts w:hint="default"/>
        </w:rPr>
      </w:pPr>
      <w:r>
        <w:rPr>
          <w:sz w:val="21"/>
        </w:rPr>
        <w:t>成果内容：说明书及图集，并以专章形式纳入改造方案总报告。</w:t>
      </w:r>
    </w:p>
    <w:p w14:paraId="5B9E8E67">
      <w:pPr>
        <w:pStyle w:val="4"/>
        <w:ind w:left="420"/>
        <w:rPr>
          <w:rFonts w:hint="default"/>
        </w:rPr>
      </w:pPr>
      <w:r>
        <w:rPr>
          <w:b/>
          <w:sz w:val="21"/>
        </w:rPr>
        <w:t>（4）市政基础设施实施评估</w:t>
      </w:r>
    </w:p>
    <w:p w14:paraId="6CC9E6F9">
      <w:pPr>
        <w:pStyle w:val="4"/>
        <w:ind w:firstLine="420"/>
        <w:jc w:val="both"/>
        <w:rPr>
          <w:rFonts w:hint="default"/>
        </w:rPr>
      </w:pPr>
      <w:r>
        <w:rPr>
          <w:sz w:val="21"/>
        </w:rPr>
        <w:t>1）现状及相关规划分析：收集片区内部和周边区域道路、竖向、给水、排水、电力、通信、燃气等现状及规划市政设施的规模和管网布局情况，分析存在的和亟需解决的问题。</w:t>
      </w:r>
    </w:p>
    <w:p w14:paraId="18AECB55">
      <w:pPr>
        <w:pStyle w:val="4"/>
        <w:ind w:firstLine="420"/>
        <w:jc w:val="both"/>
        <w:rPr>
          <w:rFonts w:hint="default"/>
        </w:rPr>
      </w:pPr>
      <w:r>
        <w:rPr>
          <w:sz w:val="21"/>
        </w:rPr>
        <w:t>2）道路交通工程：研究地面道路系统与外部道路、周边建筑地面层的衔接，编制道路工程平面、纵断面、横断面，重要交通节点设计方案，结合项目开发分期方案，提出市政道路设计分期建议，统计道路交通工程量。</w:t>
      </w:r>
    </w:p>
    <w:p w14:paraId="04BB2C83">
      <w:pPr>
        <w:pStyle w:val="4"/>
        <w:ind w:firstLine="420"/>
        <w:jc w:val="both"/>
        <w:rPr>
          <w:rFonts w:hint="default"/>
        </w:rPr>
      </w:pPr>
      <w:r>
        <w:rPr>
          <w:sz w:val="21"/>
        </w:rPr>
        <w:t>3）场地及竖向工程：深化确定道路及场地的坡度、控制点标高，结合项目开发分期，提出土方调配方案，统计道路土石方工程量。</w:t>
      </w:r>
    </w:p>
    <w:p w14:paraId="1BA74CA6">
      <w:pPr>
        <w:pStyle w:val="4"/>
        <w:ind w:firstLine="420"/>
        <w:jc w:val="both"/>
        <w:rPr>
          <w:rFonts w:hint="default"/>
        </w:rPr>
      </w:pPr>
      <w:r>
        <w:rPr>
          <w:sz w:val="21"/>
        </w:rPr>
        <w:t>4）给水工程：预测改造片区及各地块的总用水量，复核市政供水管网供水能力以及供水水压，编制给水管网布局方案及分期建设方案，统计给水工程量。</w:t>
      </w:r>
    </w:p>
    <w:p w14:paraId="7C343279">
      <w:pPr>
        <w:pStyle w:val="4"/>
        <w:ind w:firstLine="420"/>
        <w:jc w:val="both"/>
        <w:rPr>
          <w:rFonts w:hint="default"/>
        </w:rPr>
      </w:pPr>
      <w:r>
        <w:rPr>
          <w:sz w:val="21"/>
        </w:rPr>
        <w:t>5）排水工程：计算片区地块总排水量，复核上下游污水管网排水承载能力，研究排水管网与隧道、河涌、地下空间等交叉节点方案，编制雨水、污水系统平面、纵断面、横断面方案及分期建设方案，统计排水工程量。</w:t>
      </w:r>
    </w:p>
    <w:p w14:paraId="798158AB">
      <w:pPr>
        <w:pStyle w:val="4"/>
        <w:ind w:firstLine="420"/>
        <w:jc w:val="both"/>
        <w:rPr>
          <w:rFonts w:hint="default"/>
        </w:rPr>
      </w:pPr>
      <w:r>
        <w:rPr>
          <w:sz w:val="21"/>
        </w:rPr>
        <w:t>6）电力工程及高压线下地工程：计算电力最高负荷，复核片区及周边变电站的承载能力，提出各级电网布局方案及分期建设方案；根据片区道路及地块开发时序，结合电力管廊规划，开展片区内架空高压线下地方案的研究，统计电力工程及高压线下地工程量。</w:t>
      </w:r>
    </w:p>
    <w:p w14:paraId="72339D1E">
      <w:pPr>
        <w:pStyle w:val="4"/>
        <w:ind w:firstLine="420"/>
        <w:jc w:val="both"/>
        <w:rPr>
          <w:rFonts w:hint="default"/>
        </w:rPr>
      </w:pPr>
      <w:r>
        <w:rPr>
          <w:sz w:val="21"/>
        </w:rPr>
        <w:t>7）通信工程：计算通信需求量，复核片区及周边通信设施承载能力，提出通信工程布局及分期建设方案，统计通信工程量。</w:t>
      </w:r>
    </w:p>
    <w:p w14:paraId="411F719F">
      <w:pPr>
        <w:pStyle w:val="4"/>
        <w:ind w:firstLine="420"/>
        <w:jc w:val="both"/>
        <w:rPr>
          <w:rFonts w:hint="default"/>
        </w:rPr>
      </w:pPr>
      <w:r>
        <w:rPr>
          <w:sz w:val="21"/>
        </w:rPr>
        <w:t>8）燃气工程：计算片区内的居住、商业设施的耗气量，复核片区及周边燃气设施及管道的承载能力，提出燃气工程布局及分期建设方案，统计燃气工程量。</w:t>
      </w:r>
    </w:p>
    <w:p w14:paraId="6E56C5FD">
      <w:pPr>
        <w:pStyle w:val="4"/>
        <w:ind w:firstLine="420"/>
        <w:jc w:val="both"/>
        <w:rPr>
          <w:rFonts w:hint="default"/>
        </w:rPr>
      </w:pPr>
      <w:r>
        <w:rPr>
          <w:sz w:val="21"/>
        </w:rPr>
        <w:t>9）环卫工程：计算片区垃圾产生量，复核区域及片区环卫设施承载能力，提出片区环卫设施建设规模、布局以及分期建设方案，统计环卫工程量。</w:t>
      </w:r>
    </w:p>
    <w:p w14:paraId="11F663F6">
      <w:pPr>
        <w:pStyle w:val="4"/>
        <w:ind w:firstLine="420"/>
        <w:jc w:val="both"/>
        <w:rPr>
          <w:rFonts w:hint="default"/>
        </w:rPr>
      </w:pPr>
      <w:r>
        <w:rPr>
          <w:sz w:val="21"/>
        </w:rPr>
        <w:t>10）河涌整治工程：复核片区内河涌水系控制要求，以及建设规模，编制河涌建设平面、纵断面、横断面以及分期建设方案，统计片区河涌整治工程量。</w:t>
      </w:r>
    </w:p>
    <w:p w14:paraId="3465A152">
      <w:pPr>
        <w:pStyle w:val="4"/>
        <w:ind w:firstLine="420"/>
        <w:jc w:val="both"/>
        <w:rPr>
          <w:rFonts w:hint="default"/>
        </w:rPr>
      </w:pPr>
      <w:r>
        <w:rPr>
          <w:sz w:val="21"/>
        </w:rPr>
        <w:t>11）海绵城市建设工程：复核片区海绵城市建设指标，结合道路及公共绿地，编制海绵城市建设专篇方案，提出分期建设方案，统计片区海绵城市建设工程量。</w:t>
      </w:r>
    </w:p>
    <w:p w14:paraId="39EA8F2C">
      <w:pPr>
        <w:pStyle w:val="4"/>
        <w:ind w:firstLine="420"/>
        <w:jc w:val="both"/>
        <w:rPr>
          <w:rFonts w:hint="default"/>
        </w:rPr>
      </w:pPr>
      <w:r>
        <w:rPr>
          <w:sz w:val="21"/>
        </w:rPr>
        <w:t>12）市政管线综合：详细布置管线综合平面、综合横断面，研究重要节点方案。</w:t>
      </w:r>
    </w:p>
    <w:p w14:paraId="7683504A">
      <w:pPr>
        <w:pStyle w:val="4"/>
        <w:ind w:firstLine="420"/>
        <w:jc w:val="both"/>
        <w:rPr>
          <w:rFonts w:hint="default"/>
        </w:rPr>
      </w:pPr>
      <w:r>
        <w:rPr>
          <w:sz w:val="21"/>
        </w:rPr>
        <w:t>13）管线迁改方案：结合地块分期开发时序、现状管线情况，根据市政专项规划、市政实施方案的要求，开展片区的给水、排水、燃气及通信管线等的总体迁改方案。</w:t>
      </w:r>
    </w:p>
    <w:p w14:paraId="26AC27C3">
      <w:pPr>
        <w:pStyle w:val="4"/>
        <w:ind w:firstLine="420"/>
        <w:jc w:val="both"/>
        <w:rPr>
          <w:rFonts w:hint="default"/>
        </w:rPr>
      </w:pPr>
      <w:r>
        <w:rPr>
          <w:sz w:val="21"/>
        </w:rPr>
        <w:t>14）投资估算：根据上述各专项工程量，结合建筑、市政综合定额，计算市政管线、设施及道路建设等工程费用以及其他工程费用，进而计算总投资估算。</w:t>
      </w:r>
    </w:p>
    <w:p w14:paraId="357E2780">
      <w:pPr>
        <w:pStyle w:val="4"/>
        <w:ind w:firstLine="420"/>
        <w:jc w:val="both"/>
        <w:rPr>
          <w:rFonts w:hint="default"/>
        </w:rPr>
      </w:pPr>
      <w:r>
        <w:rPr>
          <w:sz w:val="21"/>
        </w:rPr>
        <w:t>成果内容：市政基础设施实施评估报告及投资估算表（含高压线下地方案、市政管线迁改方案）。</w:t>
      </w:r>
    </w:p>
    <w:p w14:paraId="43BE342A">
      <w:pPr>
        <w:pStyle w:val="4"/>
        <w:ind w:left="420"/>
        <w:rPr>
          <w:rFonts w:hint="default"/>
        </w:rPr>
      </w:pPr>
      <w:r>
        <w:rPr>
          <w:b/>
          <w:sz w:val="21"/>
        </w:rPr>
        <w:t>（5）社会稳定风险评估</w:t>
      </w:r>
    </w:p>
    <w:p w14:paraId="72E400DA">
      <w:pPr>
        <w:pStyle w:val="4"/>
        <w:ind w:firstLine="420"/>
        <w:jc w:val="both"/>
        <w:rPr>
          <w:rFonts w:hint="default"/>
        </w:rPr>
      </w:pPr>
      <w:r>
        <w:rPr>
          <w:sz w:val="21"/>
        </w:rPr>
        <w:t>按照相关文件要求，编制社会稳定风险评估成果，重点分析查找各种风险因素，评估论证城中村改造的合法性、合理性、可行性、可控性，明确风险评估结论，提出风险防范措施和处置预案。主要工作内容包括：</w:t>
      </w:r>
    </w:p>
    <w:p w14:paraId="3001A3FB">
      <w:pPr>
        <w:pStyle w:val="4"/>
        <w:ind w:firstLine="420"/>
        <w:jc w:val="both"/>
        <w:rPr>
          <w:rFonts w:hint="default"/>
        </w:rPr>
      </w:pPr>
      <w:r>
        <w:rPr>
          <w:sz w:val="21"/>
        </w:rPr>
        <w:t>1）决策事项基本情况</w:t>
      </w:r>
    </w:p>
    <w:p w14:paraId="49FCA688">
      <w:pPr>
        <w:pStyle w:val="4"/>
        <w:ind w:firstLine="420"/>
        <w:jc w:val="both"/>
        <w:rPr>
          <w:rFonts w:hint="default"/>
        </w:rPr>
      </w:pPr>
      <w:r>
        <w:rPr>
          <w:sz w:val="21"/>
        </w:rPr>
        <w:t>2）评估依据及评估过程</w:t>
      </w:r>
    </w:p>
    <w:p w14:paraId="7C8D7AC8">
      <w:pPr>
        <w:pStyle w:val="4"/>
        <w:ind w:firstLine="420"/>
        <w:jc w:val="both"/>
        <w:rPr>
          <w:rFonts w:hint="default"/>
        </w:rPr>
      </w:pPr>
      <w:r>
        <w:rPr>
          <w:sz w:val="21"/>
        </w:rPr>
        <w:t>3）各方意见及其采纳情况</w:t>
      </w:r>
    </w:p>
    <w:p w14:paraId="5AAC4084">
      <w:pPr>
        <w:pStyle w:val="4"/>
        <w:ind w:firstLine="420"/>
        <w:jc w:val="both"/>
        <w:rPr>
          <w:rFonts w:hint="default"/>
        </w:rPr>
      </w:pPr>
      <w:r>
        <w:rPr>
          <w:sz w:val="21"/>
        </w:rPr>
        <w:t>4）决策事项风险分析论证</w:t>
      </w:r>
    </w:p>
    <w:p w14:paraId="1D33FD85">
      <w:pPr>
        <w:pStyle w:val="4"/>
        <w:ind w:firstLine="420"/>
        <w:jc w:val="both"/>
        <w:rPr>
          <w:rFonts w:hint="default"/>
        </w:rPr>
      </w:pPr>
      <w:r>
        <w:rPr>
          <w:sz w:val="21"/>
        </w:rPr>
        <w:t>5）决策事项风险等级</w:t>
      </w:r>
    </w:p>
    <w:p w14:paraId="6E918A91">
      <w:pPr>
        <w:pStyle w:val="4"/>
        <w:ind w:firstLine="420"/>
        <w:jc w:val="both"/>
        <w:rPr>
          <w:rFonts w:hint="default"/>
        </w:rPr>
      </w:pPr>
      <w:r>
        <w:rPr>
          <w:sz w:val="21"/>
        </w:rPr>
        <w:t>6）风险防范和化解措施</w:t>
      </w:r>
    </w:p>
    <w:p w14:paraId="607DBFCE">
      <w:pPr>
        <w:pStyle w:val="4"/>
        <w:ind w:firstLine="420"/>
        <w:jc w:val="both"/>
        <w:rPr>
          <w:rFonts w:hint="default"/>
        </w:rPr>
      </w:pPr>
      <w:r>
        <w:rPr>
          <w:sz w:val="21"/>
        </w:rPr>
        <w:t>7）风险评估结论和建议</w:t>
      </w:r>
    </w:p>
    <w:p w14:paraId="533427AA">
      <w:pPr>
        <w:pStyle w:val="4"/>
        <w:ind w:firstLine="420"/>
        <w:jc w:val="both"/>
        <w:rPr>
          <w:rFonts w:hint="default"/>
        </w:rPr>
      </w:pPr>
      <w:r>
        <w:rPr>
          <w:sz w:val="21"/>
        </w:rPr>
        <w:t xml:space="preserve">成果内容：包括纸质成果和相应电子数据成果。  </w:t>
      </w:r>
    </w:p>
    <w:p w14:paraId="12E278D5">
      <w:pPr>
        <w:pStyle w:val="4"/>
        <w:ind w:left="420"/>
        <w:rPr>
          <w:rFonts w:hint="default"/>
        </w:rPr>
      </w:pPr>
      <w:r>
        <w:rPr>
          <w:b/>
          <w:sz w:val="21"/>
        </w:rPr>
        <w:t>（6）环境影响评价</w:t>
      </w:r>
    </w:p>
    <w:p w14:paraId="15422F37">
      <w:pPr>
        <w:pStyle w:val="4"/>
        <w:ind w:firstLine="420"/>
        <w:jc w:val="both"/>
        <w:rPr>
          <w:rFonts w:hint="default"/>
        </w:rPr>
      </w:pPr>
      <w:r>
        <w:rPr>
          <w:sz w:val="21"/>
        </w:rPr>
        <w:t>分析城中村改造范围所在区域环境特征（环境空间管控区、饮用水源保护区、环境空气质量功能区等），对城中村改造可能造成环境影响进行分析、预测和评估，提出预防或者减轻不良环境影响的对策和措施，明确环境影响评价结论。主要工作内容包括：</w:t>
      </w:r>
    </w:p>
    <w:p w14:paraId="271A0E6C">
      <w:pPr>
        <w:pStyle w:val="4"/>
        <w:ind w:firstLine="420"/>
        <w:jc w:val="both"/>
        <w:rPr>
          <w:rFonts w:hint="default"/>
        </w:rPr>
      </w:pPr>
      <w:r>
        <w:rPr>
          <w:sz w:val="21"/>
        </w:rPr>
        <w:t>1）总则</w:t>
      </w:r>
    </w:p>
    <w:p w14:paraId="2DA81CFA">
      <w:pPr>
        <w:pStyle w:val="4"/>
        <w:ind w:firstLine="420"/>
        <w:jc w:val="both"/>
        <w:rPr>
          <w:rFonts w:hint="default"/>
        </w:rPr>
      </w:pPr>
      <w:r>
        <w:rPr>
          <w:sz w:val="21"/>
        </w:rPr>
        <w:t>2）规划分析</w:t>
      </w:r>
    </w:p>
    <w:p w14:paraId="256C7132">
      <w:pPr>
        <w:pStyle w:val="4"/>
        <w:ind w:firstLine="420"/>
        <w:jc w:val="both"/>
        <w:rPr>
          <w:rFonts w:hint="default"/>
        </w:rPr>
      </w:pPr>
      <w:r>
        <w:rPr>
          <w:sz w:val="21"/>
        </w:rPr>
        <w:t>3）现状调查与评价</w:t>
      </w:r>
    </w:p>
    <w:p w14:paraId="4C3F64DA">
      <w:pPr>
        <w:pStyle w:val="4"/>
        <w:ind w:firstLine="420"/>
        <w:jc w:val="both"/>
        <w:rPr>
          <w:rFonts w:hint="default"/>
        </w:rPr>
      </w:pPr>
      <w:r>
        <w:rPr>
          <w:sz w:val="21"/>
        </w:rPr>
        <w:t>4）环境影响识别与评价指标体系构建</w:t>
      </w:r>
    </w:p>
    <w:p w14:paraId="370CE94B">
      <w:pPr>
        <w:pStyle w:val="4"/>
        <w:ind w:firstLine="420"/>
        <w:jc w:val="both"/>
        <w:rPr>
          <w:rFonts w:hint="default"/>
        </w:rPr>
      </w:pPr>
      <w:r>
        <w:rPr>
          <w:sz w:val="21"/>
        </w:rPr>
        <w:t>5）环境影响预测与评价</w:t>
      </w:r>
    </w:p>
    <w:p w14:paraId="055EC3E2">
      <w:pPr>
        <w:pStyle w:val="4"/>
        <w:ind w:firstLine="420"/>
        <w:jc w:val="both"/>
        <w:rPr>
          <w:rFonts w:hint="default"/>
        </w:rPr>
      </w:pPr>
      <w:r>
        <w:rPr>
          <w:sz w:val="21"/>
        </w:rPr>
        <w:t>6）规划方案综合论证和优化调整建议</w:t>
      </w:r>
    </w:p>
    <w:p w14:paraId="1F8D5C37">
      <w:pPr>
        <w:pStyle w:val="4"/>
        <w:ind w:firstLine="420"/>
        <w:jc w:val="both"/>
        <w:rPr>
          <w:rFonts w:hint="default"/>
        </w:rPr>
      </w:pPr>
      <w:r>
        <w:rPr>
          <w:sz w:val="21"/>
        </w:rPr>
        <w:t>7）环境影响减缓对策和措施</w:t>
      </w:r>
    </w:p>
    <w:p w14:paraId="0D177CC8">
      <w:pPr>
        <w:pStyle w:val="4"/>
        <w:ind w:firstLine="420"/>
        <w:jc w:val="both"/>
        <w:rPr>
          <w:rFonts w:hint="default"/>
        </w:rPr>
      </w:pPr>
      <w:r>
        <w:rPr>
          <w:sz w:val="21"/>
        </w:rPr>
        <w:t>8）重大建设项目环境影响评价的重点内容要求和简化建议</w:t>
      </w:r>
    </w:p>
    <w:p w14:paraId="591AAD1E">
      <w:pPr>
        <w:pStyle w:val="4"/>
        <w:ind w:firstLine="420"/>
        <w:jc w:val="both"/>
        <w:rPr>
          <w:rFonts w:hint="default"/>
        </w:rPr>
      </w:pPr>
      <w:r>
        <w:rPr>
          <w:sz w:val="21"/>
        </w:rPr>
        <w:t>9）环境影响跟踪评价计划</w:t>
      </w:r>
    </w:p>
    <w:p w14:paraId="6F703508">
      <w:pPr>
        <w:pStyle w:val="4"/>
        <w:ind w:firstLine="420"/>
        <w:jc w:val="both"/>
        <w:rPr>
          <w:rFonts w:hint="default"/>
        </w:rPr>
      </w:pPr>
      <w:r>
        <w:rPr>
          <w:sz w:val="21"/>
        </w:rPr>
        <w:t>10）公众意见及会商意见回复和采纳情况</w:t>
      </w:r>
    </w:p>
    <w:p w14:paraId="3EAF6BA4">
      <w:pPr>
        <w:pStyle w:val="4"/>
        <w:ind w:firstLine="420"/>
        <w:jc w:val="both"/>
        <w:rPr>
          <w:rFonts w:hint="default"/>
        </w:rPr>
      </w:pPr>
      <w:r>
        <w:rPr>
          <w:sz w:val="21"/>
        </w:rPr>
        <w:t>11）评价结论</w:t>
      </w:r>
    </w:p>
    <w:p w14:paraId="6AC1569B">
      <w:pPr>
        <w:pStyle w:val="4"/>
        <w:ind w:firstLine="420"/>
        <w:jc w:val="both"/>
        <w:rPr>
          <w:rFonts w:hint="default"/>
        </w:rPr>
      </w:pPr>
      <w:r>
        <w:rPr>
          <w:sz w:val="21"/>
        </w:rPr>
        <w:t>成果内容：包括环境影响篇章以及相应的电子文件及附件。</w:t>
      </w:r>
    </w:p>
    <w:p w14:paraId="162464F5">
      <w:pPr>
        <w:pStyle w:val="4"/>
        <w:ind w:left="420"/>
        <w:rPr>
          <w:rFonts w:hint="default"/>
        </w:rPr>
      </w:pPr>
      <w:r>
        <w:rPr>
          <w:b/>
          <w:sz w:val="21"/>
        </w:rPr>
        <w:t>（7）历史文化遗产保护评估</w:t>
      </w:r>
    </w:p>
    <w:p w14:paraId="0D41CD05">
      <w:pPr>
        <w:pStyle w:val="4"/>
        <w:ind w:firstLine="420"/>
        <w:jc w:val="both"/>
        <w:rPr>
          <w:rFonts w:hint="default"/>
        </w:rPr>
      </w:pPr>
      <w:r>
        <w:rPr>
          <w:sz w:val="21"/>
        </w:rPr>
        <w:t>根据历史文化遗产普查成果，结合历史文化遗产保护对象现场调查情况，明确城中村改造范围的历史文化特色，挖潜保护资源，提出历史文化保护策略，落实各层次保护规划的保护范围、保护要求、提出保护与利用措施。主要工作内容包括：</w:t>
      </w:r>
    </w:p>
    <w:p w14:paraId="3062ED44">
      <w:pPr>
        <w:pStyle w:val="4"/>
        <w:ind w:firstLine="420"/>
        <w:jc w:val="both"/>
        <w:rPr>
          <w:rFonts w:hint="default"/>
        </w:rPr>
      </w:pPr>
      <w:r>
        <w:rPr>
          <w:sz w:val="21"/>
        </w:rPr>
        <w:t>1）明确项目范围内的历史文化发展脉络及价值特色。</w:t>
      </w:r>
    </w:p>
    <w:p w14:paraId="5E35293C">
      <w:pPr>
        <w:pStyle w:val="4"/>
        <w:ind w:firstLine="420"/>
        <w:jc w:val="both"/>
        <w:rPr>
          <w:rFonts w:hint="default"/>
        </w:rPr>
      </w:pPr>
      <w:r>
        <w:rPr>
          <w:sz w:val="21"/>
        </w:rPr>
        <w:t>2）历史文化资源现状调查核查结果（明确是否涉及历史城区、历史文化街区、历史风貌区、历史文化名镇名村、传统村落、传统街巷（含骑楼街）、不可移动文物、历史建筑、传统风貌建筑、改革开放优秀建筑、古树名木及其后续资源、南粤古驿道，与工业遗产、海丝文化遗产、农业文化遗产、水务遗产、海防文化遗产、非物质文化遗产、地名文化遗产等；其它保护要素；优秀传统文化及非物质文化遗产，具体数量及范围）。</w:t>
      </w:r>
    </w:p>
    <w:p w14:paraId="387BD357">
      <w:pPr>
        <w:pStyle w:val="4"/>
        <w:ind w:firstLine="420"/>
        <w:jc w:val="both"/>
        <w:rPr>
          <w:rFonts w:hint="default"/>
        </w:rPr>
      </w:pPr>
      <w:r>
        <w:rPr>
          <w:sz w:val="21"/>
        </w:rPr>
        <w:t>3）梳理法律法规政策，以及上层次规划和其他历史文化保护专项规划的保护范围、管控要求及落实情况。</w:t>
      </w:r>
    </w:p>
    <w:p w14:paraId="016783B5">
      <w:pPr>
        <w:pStyle w:val="4"/>
        <w:ind w:firstLine="420"/>
        <w:jc w:val="both"/>
        <w:rPr>
          <w:rFonts w:hint="default"/>
        </w:rPr>
      </w:pPr>
      <w:r>
        <w:rPr>
          <w:sz w:val="21"/>
        </w:rPr>
        <w:t>4）结合规划方案，明确历史文化保护利用策略及分类保护措施。</w:t>
      </w:r>
    </w:p>
    <w:p w14:paraId="7B3454B9">
      <w:pPr>
        <w:pStyle w:val="4"/>
        <w:ind w:firstLine="420"/>
        <w:jc w:val="both"/>
        <w:rPr>
          <w:rFonts w:hint="default"/>
        </w:rPr>
      </w:pPr>
      <w:r>
        <w:rPr>
          <w:sz w:val="21"/>
        </w:rPr>
        <w:t>5）评估分析项目建设对历史文化遗产的影响。</w:t>
      </w:r>
    </w:p>
    <w:p w14:paraId="21A3303A">
      <w:pPr>
        <w:pStyle w:val="4"/>
        <w:ind w:firstLine="420"/>
        <w:jc w:val="both"/>
        <w:rPr>
          <w:rFonts w:hint="default"/>
        </w:rPr>
      </w:pPr>
      <w:r>
        <w:rPr>
          <w:sz w:val="21"/>
        </w:rPr>
        <w:t>成果内容：历史文化遗产调查评估报告；历史文化保护对象核查表。</w:t>
      </w:r>
    </w:p>
    <w:p w14:paraId="0C7DD932">
      <w:pPr>
        <w:pStyle w:val="4"/>
        <w:ind w:left="420"/>
        <w:rPr>
          <w:rFonts w:hint="default"/>
        </w:rPr>
      </w:pPr>
      <w:r>
        <w:rPr>
          <w:b/>
          <w:sz w:val="21"/>
        </w:rPr>
        <w:t>（8）海绵城市（洪涝安全评估）专题</w:t>
      </w:r>
    </w:p>
    <w:p w14:paraId="53020883">
      <w:pPr>
        <w:pStyle w:val="4"/>
        <w:ind w:firstLine="420"/>
        <w:jc w:val="both"/>
        <w:rPr>
          <w:rFonts w:hint="default"/>
        </w:rPr>
      </w:pPr>
      <w:r>
        <w:rPr>
          <w:sz w:val="21"/>
        </w:rPr>
        <w:t>根据《广州市海绵城市规划设计导则——低影响开发雨水系统构建（试行）》《广州市城市开发建设项目海绵城市建设——洪涝安全评估技术指引》要求，从区域视角分析城中村改造范围内的地形地貌、下垫面、水域面积等本底条件，结合水利、海绵、市政设施情况，梳理区域近五年的内涝点、易涝点分布及成因，确定洪涝风险等级，评价改造范围是否达到相应的防洪、内涝防治、治涝、管网设施、河涌水系、供水、污水、海绵城市、调蓄空间标准，并提出改善措施使项目满足要求。主要工作内容包括：</w:t>
      </w:r>
    </w:p>
    <w:p w14:paraId="100D7005">
      <w:pPr>
        <w:pStyle w:val="4"/>
        <w:ind w:firstLine="420"/>
        <w:jc w:val="both"/>
        <w:rPr>
          <w:rFonts w:hint="default"/>
        </w:rPr>
      </w:pPr>
      <w:r>
        <w:rPr>
          <w:sz w:val="21"/>
        </w:rPr>
        <w:t>1）海绵城市总体建设目标、策略</w:t>
      </w:r>
    </w:p>
    <w:p w14:paraId="6E8F2EE7">
      <w:pPr>
        <w:pStyle w:val="4"/>
        <w:ind w:firstLine="420"/>
        <w:jc w:val="both"/>
        <w:rPr>
          <w:rFonts w:hint="default"/>
        </w:rPr>
      </w:pPr>
      <w:r>
        <w:rPr>
          <w:sz w:val="21"/>
        </w:rPr>
        <w:t>2）控制指标</w:t>
      </w:r>
    </w:p>
    <w:p w14:paraId="060751E0">
      <w:pPr>
        <w:pStyle w:val="4"/>
        <w:ind w:firstLine="420"/>
        <w:jc w:val="both"/>
        <w:rPr>
          <w:rFonts w:hint="default"/>
        </w:rPr>
      </w:pPr>
      <w:r>
        <w:rPr>
          <w:sz w:val="21"/>
        </w:rPr>
        <w:t>3）低影响开发设施建设要求</w:t>
      </w:r>
    </w:p>
    <w:p w14:paraId="61DCBEE3">
      <w:pPr>
        <w:pStyle w:val="4"/>
        <w:ind w:firstLine="420"/>
        <w:jc w:val="both"/>
        <w:rPr>
          <w:rFonts w:hint="default"/>
        </w:rPr>
      </w:pPr>
      <w:r>
        <w:rPr>
          <w:sz w:val="21"/>
        </w:rPr>
        <w:t>4）洪涝安全评估结论</w:t>
      </w:r>
    </w:p>
    <w:p w14:paraId="6C93F35D">
      <w:pPr>
        <w:pStyle w:val="4"/>
        <w:ind w:firstLine="420"/>
        <w:jc w:val="both"/>
        <w:rPr>
          <w:rFonts w:hint="default"/>
        </w:rPr>
      </w:pPr>
      <w:r>
        <w:rPr>
          <w:sz w:val="21"/>
        </w:rPr>
        <w:t>5）蓝绿空间布局</w:t>
      </w:r>
    </w:p>
    <w:p w14:paraId="02EC1C04">
      <w:pPr>
        <w:pStyle w:val="4"/>
        <w:ind w:firstLine="420"/>
        <w:jc w:val="both"/>
        <w:rPr>
          <w:rFonts w:hint="default"/>
        </w:rPr>
      </w:pPr>
      <w:r>
        <w:rPr>
          <w:sz w:val="21"/>
        </w:rPr>
        <w:t>6）海绵设施建设</w:t>
      </w:r>
    </w:p>
    <w:p w14:paraId="36FB8837">
      <w:pPr>
        <w:pStyle w:val="4"/>
        <w:ind w:firstLine="420"/>
        <w:jc w:val="both"/>
        <w:rPr>
          <w:rFonts w:hint="default"/>
        </w:rPr>
      </w:pPr>
      <w:r>
        <w:rPr>
          <w:sz w:val="21"/>
        </w:rPr>
        <w:t>7）竖向管控要求</w:t>
      </w:r>
    </w:p>
    <w:p w14:paraId="6AA579C0">
      <w:pPr>
        <w:pStyle w:val="4"/>
        <w:ind w:firstLine="420"/>
        <w:jc w:val="both"/>
        <w:rPr>
          <w:rFonts w:hint="default"/>
        </w:rPr>
      </w:pPr>
      <w:r>
        <w:rPr>
          <w:sz w:val="21"/>
        </w:rPr>
        <w:t>成果内容：</w:t>
      </w:r>
      <w:bookmarkStart w:id="1" w:name="_Hlk211330129"/>
      <w:r>
        <w:rPr>
          <w:sz w:val="21"/>
        </w:rPr>
        <w:t>形成1份独立的专题报告，并以专章形式纳入改造方案。</w:t>
      </w:r>
      <w:bookmarkEnd w:id="1"/>
    </w:p>
    <w:p w14:paraId="693CAE70">
      <w:pPr>
        <w:pStyle w:val="4"/>
        <w:ind w:left="420"/>
        <w:rPr>
          <w:rFonts w:hint="default"/>
        </w:rPr>
      </w:pPr>
      <w:r>
        <w:rPr>
          <w:b/>
          <w:sz w:val="21"/>
        </w:rPr>
        <w:t>（9）地质灾害危险性评估</w:t>
      </w:r>
    </w:p>
    <w:p w14:paraId="57FCE9E9">
      <w:pPr>
        <w:pStyle w:val="4"/>
        <w:ind w:firstLine="420"/>
        <w:jc w:val="both"/>
        <w:rPr>
          <w:rFonts w:hint="default"/>
        </w:rPr>
      </w:pPr>
      <w:r>
        <w:rPr>
          <w:sz w:val="21"/>
        </w:rPr>
        <w:t>1）查明规划区地形地貌、地质构造特征、岩土体的空间分布规律及其物理力学性质，以及不良地质现象的成因、类型、性质和分布范围，评价岩土体条件对工程建设的影响。</w:t>
      </w:r>
    </w:p>
    <w:p w14:paraId="1CA666B7">
      <w:pPr>
        <w:pStyle w:val="4"/>
        <w:ind w:firstLine="420"/>
        <w:jc w:val="both"/>
        <w:rPr>
          <w:rFonts w:hint="default"/>
        </w:rPr>
      </w:pPr>
      <w:r>
        <w:rPr>
          <w:sz w:val="21"/>
        </w:rPr>
        <w:t>2）查明规划区地表水类型、特征，以及地下水类型、埋藏、径流及排泄条件，评价水文地质条件对工程建设的影响。</w:t>
      </w:r>
    </w:p>
    <w:p w14:paraId="36BF3081">
      <w:pPr>
        <w:pStyle w:val="4"/>
        <w:ind w:firstLine="420"/>
        <w:jc w:val="both"/>
        <w:rPr>
          <w:rFonts w:hint="default"/>
        </w:rPr>
      </w:pPr>
      <w:r>
        <w:rPr>
          <w:sz w:val="21"/>
        </w:rPr>
        <w:t>3）调查研究并预测地质环境条件变化或人类活动引起的环境工程地质问题，评价和预测不良地质作用及地质灾害对规划区工程建设的影响规律并提出相应的治理对策。</w:t>
      </w:r>
    </w:p>
    <w:p w14:paraId="5FB49D47">
      <w:pPr>
        <w:pStyle w:val="4"/>
        <w:ind w:firstLine="420"/>
        <w:jc w:val="both"/>
        <w:rPr>
          <w:rFonts w:hint="default"/>
        </w:rPr>
      </w:pPr>
      <w:r>
        <w:rPr>
          <w:sz w:val="21"/>
        </w:rPr>
        <w:t>4）综合分析规划区现有工程地质条件、环境地质条件、不良地质作用和地质灾害的发育程度，采用定性、定量两种方式（加权指数法、模糊综合评判法）对规划区地质环境质量进行综合评价。</w:t>
      </w:r>
    </w:p>
    <w:p w14:paraId="2F029385">
      <w:pPr>
        <w:pStyle w:val="4"/>
        <w:ind w:firstLine="420"/>
        <w:jc w:val="both"/>
        <w:rPr>
          <w:rFonts w:hint="default"/>
        </w:rPr>
      </w:pPr>
      <w:r>
        <w:rPr>
          <w:sz w:val="21"/>
        </w:rPr>
        <w:t>5）根据已查明的岩土体工程性质，结合房屋建筑工程、市政工程、地下工程等各类工程建设的特点，对规划区工程建设的经济性进行对比分析，提出适合建设和不适合建设各类工程的建议，并对建筑基础工程造价、基坑工程造价以及地基处理工程造价进行定量分析计算。</w:t>
      </w:r>
    </w:p>
    <w:p w14:paraId="10E23048">
      <w:pPr>
        <w:pStyle w:val="4"/>
        <w:ind w:firstLine="420"/>
        <w:jc w:val="both"/>
        <w:rPr>
          <w:rFonts w:hint="default"/>
        </w:rPr>
      </w:pPr>
      <w:r>
        <w:rPr>
          <w:sz w:val="21"/>
        </w:rPr>
        <w:t>6）通过分析建设场地的地基条件和施工条件，并结合经济性分析成果，对各分区内公共建筑、住宅建筑等不同类型建筑的限制高度和基础形式，以及地下空间开发的范围、建议深度和基坑支护形式提出专业指导意见。</w:t>
      </w:r>
    </w:p>
    <w:p w14:paraId="50630143">
      <w:pPr>
        <w:pStyle w:val="4"/>
        <w:ind w:firstLine="420"/>
        <w:jc w:val="both"/>
        <w:rPr>
          <w:rFonts w:hint="default"/>
        </w:rPr>
      </w:pPr>
      <w:r>
        <w:rPr>
          <w:sz w:val="21"/>
        </w:rPr>
        <w:t>7）通过对地质环境质量的综合分析评价，估算改造不良地质作用和工程建设不利地质环境影响因素的处理费用，为片区策划方案成本估算提供科学依据。</w:t>
      </w:r>
    </w:p>
    <w:p w14:paraId="01344FA5">
      <w:pPr>
        <w:pStyle w:val="4"/>
        <w:ind w:firstLine="420"/>
        <w:jc w:val="both"/>
        <w:rPr>
          <w:rFonts w:hint="default"/>
        </w:rPr>
      </w:pPr>
      <w:r>
        <w:rPr>
          <w:sz w:val="21"/>
        </w:rPr>
        <w:t>成果内容：</w:t>
      </w:r>
      <w:bookmarkStart w:id="2" w:name="OLE_LINK1"/>
      <w:r>
        <w:rPr>
          <w:sz w:val="21"/>
        </w:rPr>
        <w:t>一份地灾评估报告（含地灾分区图，危险性综合分区图）</w:t>
      </w:r>
      <w:bookmarkEnd w:id="2"/>
      <w:r>
        <w:rPr>
          <w:sz w:val="21"/>
        </w:rPr>
        <w:t>。</w:t>
      </w:r>
    </w:p>
    <w:p w14:paraId="4EE01A6C">
      <w:pPr>
        <w:pStyle w:val="4"/>
        <w:ind w:left="420"/>
        <w:rPr>
          <w:rFonts w:hint="default"/>
        </w:rPr>
      </w:pPr>
      <w:r>
        <w:rPr>
          <w:b/>
          <w:sz w:val="21"/>
        </w:rPr>
        <w:t>（10）土壤环境污染整体排查及启动区初步调查</w:t>
      </w:r>
    </w:p>
    <w:p w14:paraId="066284E5">
      <w:pPr>
        <w:pStyle w:val="4"/>
        <w:ind w:firstLine="420"/>
        <w:jc w:val="both"/>
        <w:rPr>
          <w:rFonts w:hint="default"/>
        </w:rPr>
      </w:pPr>
      <w:r>
        <w:rPr>
          <w:sz w:val="21"/>
        </w:rPr>
        <w:t>落实土壤污染防治相关法规要求，按照《广州市污染地块再开发利用环境管理实施方案（试行）》（穗环〔2018〕26号)要求编制土壤专章，主要目的是摸清更新改造片区以及重点地块（工业企业、仓储物流、农用地等非建设用地）场地历史沿革和现行使用情况以及土壤环境污染隐患，为下一步开展建设用地场地环境调查、风险评估和治理修复等工作提供指导。</w:t>
      </w:r>
    </w:p>
    <w:p w14:paraId="0C90F41A">
      <w:pPr>
        <w:pStyle w:val="4"/>
        <w:ind w:firstLine="420"/>
        <w:jc w:val="both"/>
        <w:rPr>
          <w:rFonts w:hint="default"/>
        </w:rPr>
      </w:pPr>
      <w:r>
        <w:rPr>
          <w:sz w:val="21"/>
        </w:rPr>
        <w:t>为深入贯彻落实《中华人民共和国土壤污染防治法》、《广东省实施&lt;中华人民共和国土壤污染防治法&gt;办法》等相关文件的要求，涉及用途变更为住宅以及商业、公共管理和公共服务用地的地块，需按照规定进行土壤污染状况初步调查。根据《建设用地土壤污染状况调查技术导则》（HJ25.1-2019）、《建设用地土壤污染风险管控和修复监测技术导则》、《广东省建设用地土壤污染状况调查、风险评估及效果评估报告技术审查要点（试行）》（粤环办〔2020〕67号）、《建设用地土壤污染防治 第1部分：污染状况调查技术规范》(DB4401T 102.1-2020)等国家及地方相关技术标准导则的要求，结合国内主要污染场地调查相关经验和目标场地的实际情况开展土壤污染状况初步调查工作。</w:t>
      </w:r>
    </w:p>
    <w:p w14:paraId="2FF131AF">
      <w:pPr>
        <w:pStyle w:val="4"/>
        <w:ind w:firstLine="420"/>
        <w:jc w:val="both"/>
        <w:rPr>
          <w:rFonts w:hint="default"/>
        </w:rPr>
      </w:pPr>
      <w:r>
        <w:rPr>
          <w:sz w:val="21"/>
        </w:rPr>
        <w:t>成果内容：编制完成《红卫片区改造范围土壤污染状况排查专项报告》、《红卫片区改造范围土壤污染状况调查和治理修复成本估算表》、《红卫片区启动区土壤污染状况调查和报告》</w:t>
      </w:r>
    </w:p>
    <w:p w14:paraId="36E3ABE3">
      <w:pPr>
        <w:pStyle w:val="4"/>
        <w:ind w:left="420"/>
        <w:rPr>
          <w:rFonts w:hint="default"/>
          <w:b/>
          <w:sz w:val="21"/>
          <w:highlight w:val="none"/>
          <w:lang w:eastAsia="zh-CN"/>
        </w:rPr>
      </w:pPr>
      <w:r>
        <w:rPr>
          <w:b/>
          <w:sz w:val="21"/>
          <w:highlight w:val="none"/>
          <w:lang w:eastAsia="zh-CN"/>
        </w:rPr>
        <w:t>（</w:t>
      </w:r>
      <w:r>
        <w:rPr>
          <w:rFonts w:hint="default"/>
          <w:b/>
          <w:sz w:val="21"/>
          <w:highlight w:val="none"/>
          <w:lang w:eastAsia="zh-CN"/>
        </w:rPr>
        <w:t>11</w:t>
      </w:r>
      <w:r>
        <w:rPr>
          <w:b/>
          <w:sz w:val="21"/>
          <w:highlight w:val="none"/>
          <w:lang w:eastAsia="zh-CN"/>
        </w:rPr>
        <w:t>）第一阶段树木保护专章报告</w:t>
      </w:r>
    </w:p>
    <w:p w14:paraId="5745F549">
      <w:pPr>
        <w:pStyle w:val="4"/>
        <w:ind w:firstLine="380"/>
        <w:jc w:val="both"/>
        <w:rPr>
          <w:rFonts w:hint="default"/>
          <w:highlight w:val="none"/>
        </w:rPr>
      </w:pPr>
      <w:r>
        <w:rPr>
          <w:sz w:val="21"/>
          <w:highlight w:val="none"/>
        </w:rPr>
        <w:t>对规划范围的树木情况进行系统摸查，总体评估并</w:t>
      </w:r>
      <w:bookmarkStart w:id="3" w:name="OLE_LINK2"/>
      <w:r>
        <w:rPr>
          <w:sz w:val="21"/>
          <w:highlight w:val="none"/>
        </w:rPr>
        <w:t>形成保护利用方案</w:t>
      </w:r>
      <w:bookmarkEnd w:id="3"/>
      <w:r>
        <w:rPr>
          <w:sz w:val="21"/>
          <w:highlight w:val="none"/>
        </w:rPr>
        <w:t>。主要包括树木资源调查、评估与树木保护利用方案等内容，并符合《广州市城市树木保护专章编制指引》的要求。</w:t>
      </w:r>
    </w:p>
    <w:p w14:paraId="31DFD8D9">
      <w:pPr>
        <w:pStyle w:val="4"/>
        <w:ind w:firstLine="380"/>
        <w:jc w:val="both"/>
        <w:rPr>
          <w:rFonts w:hint="default"/>
          <w:highlight w:val="none"/>
        </w:rPr>
      </w:pPr>
      <w:r>
        <w:rPr>
          <w:rFonts w:hint="default"/>
          <w:sz w:val="21"/>
          <w:highlight w:val="none"/>
        </w:rPr>
        <w:t>1</w:t>
      </w:r>
      <w:r>
        <w:rPr>
          <w:sz w:val="21"/>
          <w:highlight w:val="none"/>
        </w:rPr>
        <w:t>）树木资源调查</w:t>
      </w:r>
    </w:p>
    <w:p w14:paraId="738EC2D0">
      <w:pPr>
        <w:pStyle w:val="4"/>
        <w:ind w:firstLine="380"/>
        <w:jc w:val="both"/>
        <w:rPr>
          <w:rFonts w:hint="default"/>
          <w:highlight w:val="none"/>
        </w:rPr>
      </w:pPr>
      <w:r>
        <w:rPr>
          <w:sz w:val="21"/>
          <w:highlight w:val="none"/>
        </w:rPr>
        <w:t>依据国家、省市有关法规和文件要求，通过外业调查及内业数据整理，对范围内的现有绿地、连片成林树木、古树名木及古树后续资源的现状进行摸查。普查对象具体包括：范围内的现有绿地（范围、面积）；连片成林树木（范围、面积、主体树种）；古树名木及古树后续资源的现状（树种、数量、坐标、生长状况、立地条件、保护设施现状等）。</w:t>
      </w:r>
    </w:p>
    <w:p w14:paraId="46D4986D">
      <w:pPr>
        <w:pStyle w:val="4"/>
        <w:ind w:firstLine="380"/>
        <w:jc w:val="both"/>
        <w:rPr>
          <w:rFonts w:hint="default"/>
          <w:highlight w:val="none"/>
        </w:rPr>
      </w:pPr>
      <w:r>
        <w:rPr>
          <w:rFonts w:hint="default"/>
          <w:sz w:val="21"/>
          <w:highlight w:val="none"/>
        </w:rPr>
        <w:t>2</w:t>
      </w:r>
      <w:r>
        <w:rPr>
          <w:sz w:val="21"/>
          <w:highlight w:val="none"/>
        </w:rPr>
        <w:t>）评估与树木保护利用建议</w:t>
      </w:r>
    </w:p>
    <w:p w14:paraId="64E878F8">
      <w:pPr>
        <w:pStyle w:val="4"/>
        <w:jc w:val="both"/>
        <w:rPr>
          <w:rFonts w:hint="default"/>
          <w:sz w:val="21"/>
          <w:lang w:eastAsia="zh-CN"/>
        </w:rPr>
      </w:pPr>
      <w:r>
        <w:rPr>
          <w:sz w:val="21"/>
          <w:highlight w:val="none"/>
        </w:rPr>
        <w:t>基于树木资源调查结果，结合相关规划及控规方案对范围内的树木情况进行系统梳理，并提出保护措施建议。</w:t>
      </w:r>
    </w:p>
    <w:p w14:paraId="56C6E3B5">
      <w:pPr>
        <w:pStyle w:val="4"/>
        <w:ind w:firstLine="420"/>
        <w:jc w:val="both"/>
        <w:rPr>
          <w:rFonts w:hint="default"/>
          <w:sz w:val="21"/>
          <w:lang w:eastAsia="zh-CN"/>
        </w:rPr>
      </w:pPr>
      <w:r>
        <w:rPr>
          <w:sz w:val="21"/>
        </w:rPr>
        <w:t>成果内容：形成1份独立的专题报告，并以专章形式纳入改造方案。</w:t>
      </w:r>
    </w:p>
    <w:p w14:paraId="4C1F46F8">
      <w:pPr>
        <w:pStyle w:val="4"/>
        <w:ind w:left="420"/>
        <w:rPr>
          <w:rFonts w:hint="default"/>
          <w:b/>
          <w:sz w:val="21"/>
          <w:highlight w:val="none"/>
          <w:lang w:eastAsia="zh-CN"/>
        </w:rPr>
      </w:pPr>
      <w:bookmarkStart w:id="5" w:name="_GoBack"/>
    </w:p>
    <w:p w14:paraId="6707E03E">
      <w:pPr>
        <w:pStyle w:val="4"/>
        <w:ind w:left="420"/>
        <w:rPr>
          <w:b/>
          <w:sz w:val="21"/>
          <w:highlight w:val="none"/>
          <w:lang w:eastAsia="zh-CN"/>
        </w:rPr>
      </w:pPr>
      <w:r>
        <w:rPr>
          <w:b/>
          <w:sz w:val="21"/>
          <w:highlight w:val="none"/>
          <w:lang w:eastAsia="zh-CN"/>
        </w:rPr>
        <w:t>（12）</w:t>
      </w:r>
      <w:bookmarkStart w:id="4" w:name="OLE_LINK3"/>
      <w:r>
        <w:rPr>
          <w:b/>
          <w:sz w:val="21"/>
          <w:highlight w:val="none"/>
          <w:lang w:eastAsia="zh-CN"/>
        </w:rPr>
        <w:t>项目全流程咨询与服务</w:t>
      </w:r>
      <w:bookmarkEnd w:id="5"/>
    </w:p>
    <w:bookmarkEnd w:id="4"/>
    <w:p w14:paraId="34328C15">
      <w:pPr>
        <w:pStyle w:val="4"/>
        <w:ind w:firstLine="380"/>
        <w:jc w:val="both"/>
        <w:rPr>
          <w:rFonts w:hint="eastAsia" w:ascii="宋体" w:hAnsi="宋体" w:eastAsia="宋体" w:cs="宋体"/>
          <w:szCs w:val="21"/>
        </w:rPr>
      </w:pPr>
      <w:r>
        <w:rPr>
          <w:rFonts w:hint="eastAsia" w:ascii="宋体" w:hAnsi="宋体" w:eastAsia="宋体" w:cs="宋体"/>
          <w:sz w:val="21"/>
          <w:szCs w:val="21"/>
        </w:rPr>
        <w:t>对规划范围的前期情况进行系统摸查，总体评估并形成前期工作资料</w:t>
      </w:r>
      <w:r>
        <w:rPr>
          <w:rFonts w:hint="eastAsia" w:ascii="宋体" w:hAnsi="宋体" w:eastAsia="宋体" w:cs="宋体"/>
          <w:sz w:val="21"/>
        </w:rPr>
        <w:t>，并协助相关单位开展改造流程服务</w:t>
      </w:r>
      <w:r>
        <w:rPr>
          <w:rFonts w:hint="eastAsia" w:ascii="宋体" w:hAnsi="宋体" w:eastAsia="宋体" w:cs="宋体"/>
          <w:sz w:val="21"/>
          <w:szCs w:val="21"/>
        </w:rPr>
        <w:t>。主要包括基础资料收集、村民意愿摸查、村社动员工作三方面。</w:t>
      </w:r>
    </w:p>
    <w:p w14:paraId="1234C824">
      <w:pPr>
        <w:pStyle w:val="4"/>
        <w:ind w:firstLine="380"/>
        <w:jc w:val="both"/>
        <w:rPr>
          <w:rFonts w:hint="eastAsia" w:ascii="宋体" w:hAnsi="宋体" w:eastAsia="宋体" w:cs="宋体"/>
          <w:szCs w:val="21"/>
        </w:rPr>
      </w:pPr>
      <w:r>
        <w:rPr>
          <w:rFonts w:hint="eastAsia" w:ascii="宋体" w:hAnsi="宋体" w:eastAsia="宋体" w:cs="宋体"/>
          <w:sz w:val="21"/>
          <w:szCs w:val="21"/>
        </w:rPr>
        <w:t>1）基础资料收集</w:t>
      </w:r>
    </w:p>
    <w:p w14:paraId="0DEEBDA3">
      <w:pPr>
        <w:pStyle w:val="4"/>
        <w:ind w:firstLine="380"/>
        <w:jc w:val="both"/>
        <w:rPr>
          <w:rFonts w:hint="eastAsia" w:ascii="宋体" w:hAnsi="宋体" w:eastAsia="宋体" w:cs="宋体"/>
          <w:szCs w:val="21"/>
        </w:rPr>
      </w:pPr>
      <w:r>
        <w:rPr>
          <w:rFonts w:hint="eastAsia" w:ascii="宋体" w:hAnsi="宋体" w:eastAsia="宋体" w:cs="宋体"/>
          <w:sz w:val="21"/>
          <w:szCs w:val="21"/>
        </w:rPr>
        <w:t>包括城中村改造方案、控规调整方案、片区城市设计、全生命周期数智化平台、综合交通规划及分期实施规划、交通影响评估、市政基础设施专项规划、市政基础设施实施评估、社会稳定风险评估等专项评估工作编制前期的基础资料收集。</w:t>
      </w:r>
    </w:p>
    <w:p w14:paraId="1AEDBE4E">
      <w:pPr>
        <w:pStyle w:val="4"/>
        <w:ind w:firstLine="380"/>
        <w:jc w:val="both"/>
        <w:rPr>
          <w:rFonts w:hint="eastAsia" w:ascii="宋体" w:hAnsi="宋体" w:eastAsia="宋体" w:cs="宋体"/>
          <w:szCs w:val="21"/>
        </w:rPr>
      </w:pPr>
      <w:r>
        <w:rPr>
          <w:rFonts w:hint="eastAsia" w:ascii="宋体" w:hAnsi="宋体" w:eastAsia="宋体" w:cs="宋体"/>
          <w:sz w:val="21"/>
          <w:szCs w:val="21"/>
        </w:rPr>
        <w:t>2）村民意愿摸查</w:t>
      </w:r>
    </w:p>
    <w:p w14:paraId="2DAA70A2">
      <w:pPr>
        <w:pStyle w:val="4"/>
        <w:ind w:firstLine="380"/>
        <w:jc w:val="both"/>
        <w:rPr>
          <w:rFonts w:hint="eastAsia" w:ascii="宋体" w:hAnsi="宋体" w:eastAsia="宋体" w:cs="宋体"/>
          <w:szCs w:val="21"/>
        </w:rPr>
      </w:pPr>
      <w:r>
        <w:rPr>
          <w:rFonts w:hint="eastAsia" w:ascii="宋体" w:hAnsi="宋体" w:eastAsia="宋体" w:cs="宋体"/>
          <w:sz w:val="21"/>
          <w:szCs w:val="21"/>
        </w:rPr>
        <w:t>通过政策宣传与沟通、问卷访谈、座谈会等形式，收集村民意见，记录支持率、反对理由及具体诉求。</w:t>
      </w:r>
      <w:r>
        <w:rPr>
          <w:rFonts w:hint="eastAsia" w:ascii="宋体" w:hAnsi="宋体" w:eastAsia="宋体" w:cs="宋体"/>
          <w:sz w:val="21"/>
        </w:rPr>
        <w:t>根据村民意愿摸查，通过议事协商、民主决策、上门走访、主题活动等形式，针对意愿较低的村民，深入沟通，协调解决村民之间的利益冲突，促进共识形成。</w:t>
      </w:r>
    </w:p>
    <w:p w14:paraId="7EAFB676">
      <w:pPr>
        <w:pStyle w:val="4"/>
        <w:ind w:firstLine="380"/>
        <w:jc w:val="both"/>
        <w:rPr>
          <w:rFonts w:hint="eastAsia" w:ascii="宋体" w:hAnsi="宋体" w:eastAsia="宋体" w:cs="宋体"/>
          <w:szCs w:val="21"/>
        </w:rPr>
      </w:pPr>
      <w:r>
        <w:rPr>
          <w:rFonts w:hint="eastAsia" w:ascii="宋体" w:hAnsi="宋体" w:eastAsia="宋体" w:cs="宋体"/>
          <w:sz w:val="21"/>
          <w:szCs w:val="21"/>
        </w:rPr>
        <w:t>3）村社动员工作</w:t>
      </w:r>
    </w:p>
    <w:p w14:paraId="35F7D53D">
      <w:pPr>
        <w:pStyle w:val="4"/>
        <w:ind w:firstLine="380"/>
        <w:jc w:val="both"/>
        <w:rPr>
          <w:rFonts w:hint="eastAsia" w:ascii="宋体" w:hAnsi="宋体" w:eastAsia="宋体" w:cs="宋体"/>
          <w:szCs w:val="21"/>
        </w:rPr>
      </w:pPr>
      <w:r>
        <w:rPr>
          <w:rFonts w:hint="eastAsia" w:ascii="宋体" w:hAnsi="宋体" w:eastAsia="宋体" w:cs="宋体"/>
          <w:sz w:val="21"/>
        </w:rPr>
        <w:t>包括1.协助开展基础数据测量的入户宣传、动员、组织工作；2.协助开展动迁宣讲及入户动员、租赁合同解约等工作；3.协助开展征拆补偿安置方案宣讲；4.协助开展城中村改造方案编制过程中涉及的村民表决等工作。</w:t>
      </w:r>
    </w:p>
    <w:p w14:paraId="2B752458">
      <w:pPr>
        <w:pStyle w:val="4"/>
        <w:spacing w:before="120" w:after="180"/>
        <w:jc w:val="both"/>
        <w:outlineLvl w:val="3"/>
        <w:rPr>
          <w:rFonts w:hint="default"/>
        </w:rPr>
      </w:pPr>
      <w:r>
        <w:rPr>
          <w:b/>
          <w:sz w:val="21"/>
        </w:rPr>
        <w:t>1.3 单元详规（控规）及城市设计</w:t>
      </w:r>
    </w:p>
    <w:p w14:paraId="480003FF">
      <w:pPr>
        <w:pStyle w:val="4"/>
        <w:ind w:left="420"/>
        <w:rPr>
          <w:rFonts w:hint="default"/>
          <w:b/>
          <w:sz w:val="21"/>
          <w:lang w:eastAsia="zh-CN"/>
        </w:rPr>
      </w:pPr>
      <w:r>
        <w:rPr>
          <w:b/>
          <w:sz w:val="21"/>
          <w:lang w:eastAsia="zh-CN"/>
        </w:rPr>
        <w:t>（1）红卫片区城市更新单元详细规划（控制性详细规划）</w:t>
      </w:r>
    </w:p>
    <w:p w14:paraId="43A61C6D">
      <w:pPr>
        <w:pStyle w:val="4"/>
        <w:ind w:firstLine="420"/>
        <w:jc w:val="both"/>
        <w:rPr>
          <w:rFonts w:hint="default"/>
        </w:rPr>
      </w:pPr>
      <w:r>
        <w:rPr>
          <w:sz w:val="21"/>
        </w:rPr>
        <w:t>根据上层次规划、政策及相关技术规定的要求，编制控规调整方案，完成公共服务设施、市政公用设施、交通设施专项调整方案，完成项目整体概况、修改原因、申请修改的内容、修改前后对比、概念方案、修改影响分析、提请审议事项等工作内容，明确修改后的土地利用性质、开发强度、建筑密度、绿地率、建筑高度等控制性要求。根据广州市规划和自然资源局、市规委会、市政府的审查审批要求，提交启动区控规调整论证报告及相关技术文件等。主要工作内容包括：</w:t>
      </w:r>
    </w:p>
    <w:p w14:paraId="569D4807">
      <w:pPr>
        <w:pStyle w:val="4"/>
        <w:ind w:firstLine="420"/>
        <w:jc w:val="both"/>
        <w:rPr>
          <w:rFonts w:hint="default"/>
        </w:rPr>
      </w:pPr>
      <w:r>
        <w:rPr>
          <w:sz w:val="21"/>
        </w:rPr>
        <w:t>1）规划优化提升必要性</w:t>
      </w:r>
    </w:p>
    <w:p w14:paraId="6AE12ADA">
      <w:pPr>
        <w:pStyle w:val="4"/>
        <w:ind w:firstLine="420"/>
        <w:jc w:val="both"/>
        <w:rPr>
          <w:rFonts w:hint="default"/>
        </w:rPr>
      </w:pPr>
      <w:r>
        <w:rPr>
          <w:sz w:val="21"/>
        </w:rPr>
        <w:t>2）规划优化说明</w:t>
      </w:r>
    </w:p>
    <w:p w14:paraId="5B35E621">
      <w:pPr>
        <w:pStyle w:val="4"/>
        <w:ind w:firstLine="420"/>
        <w:jc w:val="both"/>
        <w:rPr>
          <w:rFonts w:hint="default"/>
        </w:rPr>
      </w:pPr>
      <w:r>
        <w:rPr>
          <w:sz w:val="21"/>
        </w:rPr>
        <w:t>3）审查、公示及部门意见落实情况</w:t>
      </w:r>
    </w:p>
    <w:p w14:paraId="3DCA606C">
      <w:pPr>
        <w:pStyle w:val="4"/>
        <w:ind w:firstLine="420"/>
        <w:jc w:val="both"/>
        <w:rPr>
          <w:rFonts w:hint="default"/>
        </w:rPr>
      </w:pPr>
      <w:r>
        <w:rPr>
          <w:sz w:val="21"/>
        </w:rPr>
        <w:t>4）提请会议审议并表决的内容</w:t>
      </w:r>
    </w:p>
    <w:p w14:paraId="17E1E04F">
      <w:pPr>
        <w:pStyle w:val="4"/>
        <w:ind w:firstLine="420"/>
        <w:jc w:val="both"/>
        <w:rPr>
          <w:rFonts w:hint="default"/>
        </w:rPr>
      </w:pPr>
      <w:r>
        <w:rPr>
          <w:sz w:val="21"/>
        </w:rPr>
        <w:t>5）附件</w:t>
      </w:r>
    </w:p>
    <w:p w14:paraId="4F66FEB4">
      <w:pPr>
        <w:pStyle w:val="4"/>
        <w:ind w:firstLine="420"/>
        <w:jc w:val="both"/>
        <w:rPr>
          <w:rFonts w:hint="default"/>
        </w:rPr>
      </w:pPr>
      <w:r>
        <w:rPr>
          <w:sz w:val="21"/>
        </w:rPr>
        <w:t>成果内容：编制独立的论证报告。</w:t>
      </w:r>
    </w:p>
    <w:p w14:paraId="3D462E96">
      <w:pPr>
        <w:pStyle w:val="4"/>
        <w:ind w:left="420"/>
        <w:rPr>
          <w:rFonts w:hint="default"/>
          <w:b/>
          <w:sz w:val="21"/>
          <w:lang w:eastAsia="zh-CN"/>
        </w:rPr>
      </w:pPr>
      <w:r>
        <w:rPr>
          <w:b/>
          <w:sz w:val="21"/>
          <w:lang w:eastAsia="zh-CN"/>
        </w:rPr>
        <w:t>（2）红卫片区城市设计</w:t>
      </w:r>
    </w:p>
    <w:p w14:paraId="4875F93F">
      <w:pPr>
        <w:pStyle w:val="4"/>
        <w:ind w:firstLine="420"/>
        <w:jc w:val="both"/>
        <w:rPr>
          <w:rFonts w:hint="default"/>
        </w:rPr>
      </w:pPr>
      <w:r>
        <w:rPr>
          <w:sz w:val="21"/>
        </w:rPr>
        <w:t>结合规划范围开展详细城市设计，重点针对区域发展定位、建筑空间形态、公共空间体系、街道与建筑界面、路径与节点等方面开展详细城市设计，作为改造方案及控规方案编制的指导依据。主要工作内容包括：</w:t>
      </w:r>
    </w:p>
    <w:p w14:paraId="70E7CE09">
      <w:pPr>
        <w:pStyle w:val="4"/>
        <w:ind w:firstLine="420"/>
        <w:jc w:val="both"/>
        <w:rPr>
          <w:rFonts w:hint="default"/>
        </w:rPr>
      </w:pPr>
      <w:r>
        <w:rPr>
          <w:sz w:val="21"/>
        </w:rPr>
        <w:t>1）针对改造范围及其周边地区的建筑高度、天际线、重要景观节点、绿地系统与开敞空间、风廊视廊等重要廊道以及地区特色风貌控制等提出城市设计指引，明确城市设计要素和控制要求。</w:t>
      </w:r>
    </w:p>
    <w:p w14:paraId="07D81B8B">
      <w:pPr>
        <w:pStyle w:val="4"/>
        <w:ind w:firstLine="420"/>
        <w:jc w:val="both"/>
        <w:rPr>
          <w:rFonts w:hint="default"/>
        </w:rPr>
      </w:pPr>
      <w:r>
        <w:rPr>
          <w:sz w:val="21"/>
        </w:rPr>
        <w:t>2）考虑项目所在区域为广州市重点功能片区及重要景观风貌区，围绕重点地块，以及沿河涌周边开展详细设计，结合交通微循环要求，开展场地详细设计，对建筑布局方式、群体形象、体量、高度等提出控制与引导要求。</w:t>
      </w:r>
    </w:p>
    <w:p w14:paraId="08A5691C">
      <w:pPr>
        <w:pStyle w:val="4"/>
        <w:ind w:firstLine="420"/>
        <w:jc w:val="both"/>
        <w:rPr>
          <w:rFonts w:hint="default"/>
        </w:rPr>
      </w:pPr>
      <w:r>
        <w:rPr>
          <w:sz w:val="21"/>
        </w:rPr>
        <w:t>3）在城市设计框架条件及指引下，提供重点区域具备落地性的强排深度总平面方案，重点解决包括地块开发强度分析及安排、城市设计指引、分期开发建议及城市空间、设施衔接关系、公共空间及景观系统规划、道路及慢行系统、立体空间系统规划、河涌景观岸线规划，地块与周边道路交通衔接分析等工作内容验证其地块规划指标合理性，商住混合用地产居比合理性等。</w:t>
      </w:r>
    </w:p>
    <w:p w14:paraId="4CBE00D5">
      <w:pPr>
        <w:pStyle w:val="4"/>
        <w:ind w:firstLine="420"/>
        <w:jc w:val="both"/>
        <w:rPr>
          <w:rFonts w:hint="default"/>
        </w:rPr>
      </w:pPr>
      <w:r>
        <w:rPr>
          <w:sz w:val="21"/>
        </w:rPr>
        <w:t>4）结合城市设计方案，制作1:3000沙盘模型，用于展示城市总体空间形态设计成果。</w:t>
      </w:r>
    </w:p>
    <w:p w14:paraId="3032C4EB">
      <w:pPr>
        <w:pStyle w:val="4"/>
        <w:ind w:firstLine="420"/>
        <w:jc w:val="both"/>
        <w:rPr>
          <w:rFonts w:hint="default"/>
        </w:rPr>
      </w:pPr>
      <w:r>
        <w:rPr>
          <w:sz w:val="21"/>
        </w:rPr>
        <w:t>成果内容：以专章形式纳入改造方案总报告、1:3000项目沙盘模型。</w:t>
      </w:r>
    </w:p>
    <w:p w14:paraId="26B94789">
      <w:pPr>
        <w:pStyle w:val="4"/>
        <w:jc w:val="both"/>
        <w:outlineLvl w:val="2"/>
        <w:rPr>
          <w:rFonts w:hint="default"/>
        </w:rPr>
      </w:pPr>
      <w:r>
        <w:rPr>
          <w:b/>
          <w:sz w:val="21"/>
        </w:rPr>
        <w:t>2、工期要求</w:t>
      </w:r>
    </w:p>
    <w:p w14:paraId="2CFA1648">
      <w:pPr>
        <w:pStyle w:val="4"/>
        <w:ind w:firstLine="420"/>
        <w:jc w:val="both"/>
        <w:rPr>
          <w:rFonts w:hint="default"/>
        </w:rPr>
      </w:pPr>
      <w:r>
        <w:rPr>
          <w:color w:val="000000"/>
          <w:sz w:val="21"/>
        </w:rPr>
        <w:t>本项目拟于合同签订日起24个月内完成验收结题，各阶段工作计划如下：</w:t>
      </w:r>
    </w:p>
    <w:p w14:paraId="113594E3">
      <w:pPr>
        <w:pStyle w:val="4"/>
        <w:ind w:firstLine="420"/>
        <w:jc w:val="both"/>
        <w:rPr>
          <w:rFonts w:hint="default"/>
        </w:rPr>
      </w:pPr>
      <w:r>
        <w:rPr>
          <w:color w:val="000000"/>
          <w:sz w:val="21"/>
        </w:rPr>
        <w:t>合同签订日起2个月内：编制完成初步成果；</w:t>
      </w:r>
    </w:p>
    <w:p w14:paraId="4F9D7BF1">
      <w:pPr>
        <w:pStyle w:val="4"/>
        <w:ind w:firstLine="420"/>
        <w:jc w:val="both"/>
        <w:rPr>
          <w:rFonts w:hint="default"/>
        </w:rPr>
      </w:pPr>
      <w:r>
        <w:rPr>
          <w:color w:val="000000"/>
          <w:sz w:val="21"/>
        </w:rPr>
        <w:t>合同签订日起12个月内：编制完成中期成果；</w:t>
      </w:r>
    </w:p>
    <w:p w14:paraId="67A89E38">
      <w:pPr>
        <w:pStyle w:val="4"/>
        <w:ind w:firstLine="420"/>
        <w:jc w:val="both"/>
        <w:rPr>
          <w:rFonts w:hint="default"/>
        </w:rPr>
      </w:pPr>
      <w:r>
        <w:rPr>
          <w:color w:val="000000"/>
          <w:sz w:val="21"/>
        </w:rPr>
        <w:t>合同签订日起24个月内：完善最终成果并验收结题。</w:t>
      </w:r>
    </w:p>
    <w:p w14:paraId="4ACACA19">
      <w:pPr>
        <w:pStyle w:val="4"/>
        <w:jc w:val="both"/>
        <w:outlineLvl w:val="2"/>
        <w:rPr>
          <w:rFonts w:hint="default"/>
        </w:rPr>
      </w:pPr>
      <w:r>
        <w:rPr>
          <w:b/>
          <w:sz w:val="21"/>
        </w:rPr>
        <w:t>3、成果要求</w:t>
      </w:r>
    </w:p>
    <w:p w14:paraId="60B7EF4E">
      <w:pPr>
        <w:pStyle w:val="4"/>
        <w:ind w:firstLine="420"/>
        <w:jc w:val="both"/>
        <w:rPr>
          <w:rFonts w:hint="default"/>
        </w:rPr>
      </w:pPr>
      <w:r>
        <w:rPr>
          <w:sz w:val="21"/>
        </w:rPr>
        <w:t>（1）验收标准</w:t>
      </w:r>
    </w:p>
    <w:p w14:paraId="0B647575">
      <w:pPr>
        <w:pStyle w:val="4"/>
        <w:ind w:firstLine="420"/>
        <w:jc w:val="both"/>
        <w:rPr>
          <w:rFonts w:hint="default"/>
        </w:rPr>
      </w:pPr>
      <w:r>
        <w:rPr>
          <w:sz w:val="21"/>
        </w:rPr>
        <w:t>项目成果须符合国家、广东省、广州市关于城中村改造方案及专项规划及评估相关法律、法规、技术规定，及主管部门审查审批要求。</w:t>
      </w:r>
    </w:p>
    <w:p w14:paraId="27FAAF1F">
      <w:pPr>
        <w:pStyle w:val="4"/>
        <w:ind w:firstLine="420"/>
        <w:jc w:val="both"/>
        <w:rPr>
          <w:rFonts w:hint="default"/>
        </w:rPr>
      </w:pPr>
      <w:r>
        <w:rPr>
          <w:sz w:val="21"/>
        </w:rPr>
        <w:t>（2）成果形式</w:t>
      </w:r>
    </w:p>
    <w:p w14:paraId="571CF2C8">
      <w:pPr>
        <w:pStyle w:val="4"/>
        <w:ind w:firstLine="420"/>
        <w:jc w:val="both"/>
        <w:rPr>
          <w:rFonts w:hint="default"/>
        </w:rPr>
      </w:pPr>
      <w:r>
        <w:rPr>
          <w:sz w:val="21"/>
        </w:rPr>
        <w:t>项目成果形式包括纸质文档和电子文档。成果数量依据各项目具体要求而定。</w:t>
      </w:r>
    </w:p>
    <w:p w14:paraId="0C9AB72E">
      <w:pPr>
        <w:pStyle w:val="4"/>
        <w:ind w:firstLine="420"/>
        <w:jc w:val="both"/>
        <w:rPr>
          <w:rFonts w:hint="default"/>
        </w:rPr>
      </w:pPr>
      <w:r>
        <w:rPr>
          <w:sz w:val="21"/>
        </w:rPr>
        <w:t>纸质文档规格为A4（297mm×210mm）或A3（297mm×420mm），并力求清晰、完整，标注齐全、准确，同类图纸规格尽量统一。文本和图则合订为一本完整的书面成果。</w:t>
      </w:r>
    </w:p>
    <w:p w14:paraId="26720EFE">
      <w:pPr>
        <w:pStyle w:val="4"/>
        <w:ind w:firstLine="420"/>
        <w:jc w:val="both"/>
        <w:rPr>
          <w:rFonts w:hint="default"/>
        </w:rPr>
      </w:pPr>
      <w:r>
        <w:rPr>
          <w:sz w:val="21"/>
        </w:rPr>
        <w:t>电子文档以光盘形式提供，文本文件采用word或pdf或ppt格式文件，图形（包括效果图）文件采用dwg或shp或jpg格式文件，成果计算机数据若涉及空间坐标，应建立广州坐标2000体系。</w:t>
      </w:r>
    </w:p>
    <w:p w14:paraId="00B5F15B">
      <w:pPr>
        <w:pStyle w:val="4"/>
        <w:spacing w:before="255" w:after="255"/>
        <w:outlineLvl w:val="1"/>
        <w:rPr>
          <w:rFonts w:hint="default"/>
        </w:rPr>
      </w:pPr>
      <w:r>
        <w:rPr>
          <w:b/>
          <w:sz w:val="21"/>
        </w:rPr>
        <w:t>三、项目费用</w:t>
      </w:r>
    </w:p>
    <w:p w14:paraId="5EF8E3AF">
      <w:pPr>
        <w:pStyle w:val="4"/>
        <w:jc w:val="both"/>
        <w:outlineLvl w:val="2"/>
        <w:rPr>
          <w:rFonts w:hint="default"/>
        </w:rPr>
      </w:pPr>
      <w:r>
        <w:rPr>
          <w:b/>
          <w:sz w:val="21"/>
        </w:rPr>
        <w:t>1、费用详情</w:t>
      </w:r>
    </w:p>
    <w:p w14:paraId="0D439030">
      <w:pPr>
        <w:pStyle w:val="4"/>
        <w:ind w:firstLine="420"/>
        <w:jc w:val="both"/>
        <w:rPr>
          <w:rFonts w:hint="default"/>
        </w:rPr>
      </w:pPr>
      <w:r>
        <w:rPr>
          <w:sz w:val="21"/>
        </w:rPr>
        <w:t>本项目最高投标限价为人民币贰仟陆佰万元整（¥ 26,000,000.00元）。</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81"/>
        <w:gridCol w:w="462"/>
        <w:gridCol w:w="1410"/>
        <w:gridCol w:w="1030"/>
        <w:gridCol w:w="894"/>
        <w:gridCol w:w="3714"/>
      </w:tblGrid>
      <w:tr w14:paraId="720C72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1"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14:paraId="73FF37AF">
            <w:pPr>
              <w:pStyle w:val="4"/>
              <w:jc w:val="center"/>
              <w:rPr>
                <w:rFonts w:hint="default"/>
              </w:rPr>
            </w:pPr>
            <w:r>
              <w:rPr>
                <w:b/>
                <w:color w:val="000000"/>
                <w:sz w:val="21"/>
              </w:rPr>
              <w:t>工作</w:t>
            </w:r>
          </w:p>
          <w:p w14:paraId="210821E6">
            <w:pPr>
              <w:pStyle w:val="4"/>
              <w:jc w:val="center"/>
              <w:rPr>
                <w:rFonts w:hint="default"/>
              </w:rPr>
            </w:pPr>
            <w:r>
              <w:rPr>
                <w:b/>
                <w:color w:val="000000"/>
                <w:sz w:val="21"/>
              </w:rPr>
              <w:t>版块</w:t>
            </w:r>
          </w:p>
        </w:tc>
        <w:tc>
          <w:tcPr>
            <w:tcW w:w="462"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14:paraId="500928A1">
            <w:pPr>
              <w:pStyle w:val="4"/>
              <w:jc w:val="center"/>
              <w:rPr>
                <w:rFonts w:hint="default"/>
              </w:rPr>
            </w:pPr>
            <w:r>
              <w:rPr>
                <w:b/>
                <w:color w:val="000000"/>
                <w:sz w:val="21"/>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14:paraId="0A688B8C">
            <w:pPr>
              <w:pStyle w:val="4"/>
              <w:jc w:val="center"/>
              <w:rPr>
                <w:rFonts w:hint="default"/>
              </w:rPr>
            </w:pPr>
            <w:r>
              <w:rPr>
                <w:b/>
                <w:color w:val="000000"/>
                <w:sz w:val="21"/>
              </w:rPr>
              <w:t>工作内容</w:t>
            </w:r>
          </w:p>
        </w:tc>
        <w:tc>
          <w:tcPr>
            <w:tcW w:w="1030"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14:paraId="67BE3247">
            <w:pPr>
              <w:pStyle w:val="4"/>
              <w:jc w:val="center"/>
              <w:rPr>
                <w:rFonts w:hint="default"/>
              </w:rPr>
            </w:pPr>
            <w:r>
              <w:rPr>
                <w:b/>
                <w:color w:val="000000"/>
                <w:sz w:val="21"/>
              </w:rPr>
              <w:t>面积</w:t>
            </w:r>
          </w:p>
          <w:p w14:paraId="069BC562">
            <w:pPr>
              <w:pStyle w:val="4"/>
              <w:jc w:val="center"/>
              <w:rPr>
                <w:rFonts w:hint="default"/>
              </w:rPr>
            </w:pPr>
            <w:r>
              <w:rPr>
                <w:b/>
                <w:color w:val="000000"/>
                <w:sz w:val="21"/>
              </w:rPr>
              <w:t>（公顷）</w:t>
            </w:r>
          </w:p>
        </w:tc>
        <w:tc>
          <w:tcPr>
            <w:tcW w:w="894"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14:paraId="20EFF02F">
            <w:pPr>
              <w:pStyle w:val="4"/>
              <w:jc w:val="center"/>
              <w:rPr>
                <w:rFonts w:hint="default"/>
              </w:rPr>
            </w:pPr>
            <w:r>
              <w:rPr>
                <w:b/>
                <w:color w:val="000000"/>
                <w:sz w:val="21"/>
              </w:rPr>
              <w:t>单项费用（万元）</w:t>
            </w:r>
          </w:p>
        </w:tc>
        <w:tc>
          <w:tcPr>
            <w:tcW w:w="3714"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tcPr>
          <w:p w14:paraId="2FDDFBAA">
            <w:pPr>
              <w:pStyle w:val="4"/>
              <w:jc w:val="center"/>
              <w:rPr>
                <w:rFonts w:hint="default"/>
              </w:rPr>
            </w:pPr>
            <w:r>
              <w:rPr>
                <w:b/>
                <w:color w:val="000000"/>
                <w:sz w:val="21"/>
              </w:rPr>
              <w:t>计费标准</w:t>
            </w:r>
          </w:p>
        </w:tc>
      </w:tr>
      <w:tr w14:paraId="652F4E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1"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62885572">
            <w:pPr>
              <w:pStyle w:val="4"/>
              <w:jc w:val="center"/>
              <w:rPr>
                <w:rFonts w:hint="default"/>
              </w:rPr>
            </w:pPr>
            <w:r>
              <w:rPr>
                <w:color w:val="000000"/>
                <w:sz w:val="21"/>
              </w:rPr>
              <w:t>第一</w:t>
            </w:r>
          </w:p>
          <w:p w14:paraId="2342DFD7">
            <w:pPr>
              <w:pStyle w:val="4"/>
              <w:jc w:val="center"/>
              <w:rPr>
                <w:rFonts w:hint="default"/>
              </w:rPr>
            </w:pPr>
            <w:r>
              <w:rPr>
                <w:color w:val="000000"/>
                <w:sz w:val="21"/>
              </w:rPr>
              <w:t>阶段</w:t>
            </w:r>
          </w:p>
        </w:tc>
        <w:tc>
          <w:tcPr>
            <w:tcW w:w="46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7920462">
            <w:pPr>
              <w:pStyle w:val="4"/>
              <w:jc w:val="center"/>
              <w:rPr>
                <w:rFonts w:hint="default"/>
              </w:rPr>
            </w:pPr>
            <w:r>
              <w:rPr>
                <w:color w:val="000000"/>
                <w:sz w:val="21"/>
              </w:rPr>
              <w:t>1</w:t>
            </w:r>
          </w:p>
        </w:tc>
        <w:tc>
          <w:tcPr>
            <w:tcW w:w="141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7BF162B">
            <w:pPr>
              <w:pStyle w:val="4"/>
              <w:jc w:val="center"/>
              <w:rPr>
                <w:rFonts w:hint="default"/>
              </w:rPr>
            </w:pPr>
            <w:r>
              <w:rPr>
                <w:color w:val="000000"/>
                <w:sz w:val="21"/>
              </w:rPr>
              <w:t>城中村改造方案</w:t>
            </w:r>
          </w:p>
        </w:tc>
        <w:tc>
          <w:tcPr>
            <w:tcW w:w="103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8C23F0C">
            <w:pPr>
              <w:pStyle w:val="4"/>
              <w:jc w:val="center"/>
              <w:rPr>
                <w:rFonts w:hint="default"/>
              </w:rPr>
            </w:pPr>
            <w:r>
              <w:rPr>
                <w:color w:val="000000"/>
                <w:sz w:val="21"/>
              </w:rPr>
              <w:t>128.65</w:t>
            </w:r>
          </w:p>
        </w:tc>
        <w:tc>
          <w:tcPr>
            <w:tcW w:w="8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EF97783">
            <w:pPr>
              <w:pStyle w:val="4"/>
              <w:jc w:val="center"/>
              <w:rPr>
                <w:rFonts w:hint="default"/>
              </w:rPr>
            </w:pPr>
            <w:r>
              <w:rPr>
                <w:color w:val="000000"/>
                <w:sz w:val="21"/>
              </w:rPr>
              <w:t>386</w:t>
            </w:r>
          </w:p>
        </w:tc>
        <w:tc>
          <w:tcPr>
            <w:tcW w:w="371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36AD9B8">
            <w:pPr>
              <w:pStyle w:val="4"/>
              <w:rPr>
                <w:rFonts w:hint="default"/>
              </w:rPr>
            </w:pPr>
            <w:r>
              <w:rPr>
                <w:color w:val="000000"/>
                <w:sz w:val="21"/>
              </w:rPr>
              <w:t>城中村改造方案，参照《广州市城中村改造项目成本管理办法（试行）》，改造方案编制费单价3万/公顷的标准收费。</w:t>
            </w:r>
          </w:p>
        </w:tc>
      </w:tr>
      <w:tr w14:paraId="307134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1" w:type="dxa"/>
            <w:vMerge w:val="continue"/>
            <w:tcBorders>
              <w:top w:val="nil"/>
              <w:left w:val="single" w:color="000000" w:sz="4" w:space="0"/>
              <w:bottom w:val="single" w:color="000000" w:sz="4" w:space="0"/>
              <w:right w:val="single" w:color="000000" w:sz="4" w:space="0"/>
            </w:tcBorders>
          </w:tcPr>
          <w:p w14:paraId="62F1918F"/>
        </w:tc>
        <w:tc>
          <w:tcPr>
            <w:tcW w:w="46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869FEE7">
            <w:pPr>
              <w:pStyle w:val="4"/>
              <w:jc w:val="center"/>
              <w:rPr>
                <w:rFonts w:hint="default"/>
              </w:rPr>
            </w:pPr>
            <w:r>
              <w:rPr>
                <w:color w:val="000000"/>
                <w:sz w:val="21"/>
              </w:rPr>
              <w:t>2</w:t>
            </w:r>
          </w:p>
        </w:tc>
        <w:tc>
          <w:tcPr>
            <w:tcW w:w="141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564C998">
            <w:pPr>
              <w:pStyle w:val="4"/>
              <w:jc w:val="center"/>
              <w:rPr>
                <w:rFonts w:hint="default"/>
              </w:rPr>
            </w:pPr>
            <w:r>
              <w:rPr>
                <w:color w:val="000000"/>
                <w:sz w:val="21"/>
              </w:rPr>
              <w:t>城中村改造实施计划</w:t>
            </w:r>
          </w:p>
        </w:tc>
        <w:tc>
          <w:tcPr>
            <w:tcW w:w="103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696B8B7">
            <w:pPr>
              <w:pStyle w:val="4"/>
              <w:jc w:val="center"/>
              <w:rPr>
                <w:rFonts w:hint="default"/>
              </w:rPr>
            </w:pPr>
            <w:r>
              <w:rPr>
                <w:color w:val="000000"/>
                <w:sz w:val="21"/>
              </w:rPr>
              <w:t>128.65</w:t>
            </w:r>
          </w:p>
        </w:tc>
        <w:tc>
          <w:tcPr>
            <w:tcW w:w="8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F391EEC">
            <w:pPr>
              <w:pStyle w:val="4"/>
              <w:jc w:val="center"/>
              <w:rPr>
                <w:rFonts w:hint="default"/>
              </w:rPr>
            </w:pPr>
            <w:r>
              <w:rPr>
                <w:sz w:val="21"/>
              </w:rPr>
              <w:t>58</w:t>
            </w:r>
          </w:p>
        </w:tc>
        <w:tc>
          <w:tcPr>
            <w:tcW w:w="371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D64006D">
            <w:pPr>
              <w:pStyle w:val="4"/>
              <w:rPr>
                <w:rFonts w:hint="default"/>
              </w:rPr>
            </w:pPr>
            <w:r>
              <w:rPr>
                <w:color w:val="000000"/>
                <w:sz w:val="21"/>
              </w:rPr>
              <w:t>参照《广州市城中村改造项目成本管理办法（试行）》，改造实施计划编制费单价0.45万/公顷的标准收费。</w:t>
            </w:r>
          </w:p>
        </w:tc>
      </w:tr>
      <w:tr w14:paraId="328024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1" w:type="dxa"/>
            <w:vMerge w:val="continue"/>
            <w:tcBorders>
              <w:top w:val="nil"/>
              <w:left w:val="single" w:color="000000" w:sz="4" w:space="0"/>
              <w:bottom w:val="single" w:color="000000" w:sz="4" w:space="0"/>
              <w:right w:val="single" w:color="000000" w:sz="4" w:space="0"/>
            </w:tcBorders>
          </w:tcPr>
          <w:p w14:paraId="01F364E7"/>
        </w:tc>
        <w:tc>
          <w:tcPr>
            <w:tcW w:w="46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172A877">
            <w:pPr>
              <w:pStyle w:val="4"/>
              <w:jc w:val="center"/>
              <w:rPr>
                <w:rFonts w:hint="default"/>
              </w:rPr>
            </w:pPr>
            <w:r>
              <w:rPr>
                <w:color w:val="000000"/>
                <w:sz w:val="21"/>
              </w:rPr>
              <w:t>3</w:t>
            </w:r>
          </w:p>
        </w:tc>
        <w:tc>
          <w:tcPr>
            <w:tcW w:w="141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6B5C010">
            <w:pPr>
              <w:pStyle w:val="4"/>
              <w:jc w:val="center"/>
              <w:rPr>
                <w:rFonts w:hint="default"/>
              </w:rPr>
            </w:pPr>
            <w:r>
              <w:rPr>
                <w:color w:val="000000"/>
                <w:sz w:val="21"/>
              </w:rPr>
              <w:t>地下空间规划专项研究</w:t>
            </w:r>
          </w:p>
        </w:tc>
        <w:tc>
          <w:tcPr>
            <w:tcW w:w="103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59606B3">
            <w:pPr>
              <w:pStyle w:val="4"/>
              <w:jc w:val="center"/>
              <w:rPr>
                <w:rFonts w:hint="default"/>
              </w:rPr>
            </w:pPr>
            <w:r>
              <w:rPr>
                <w:color w:val="000000"/>
                <w:sz w:val="21"/>
              </w:rPr>
              <w:t>21</w:t>
            </w:r>
          </w:p>
        </w:tc>
        <w:tc>
          <w:tcPr>
            <w:tcW w:w="8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78BAF2F">
            <w:pPr>
              <w:pStyle w:val="4"/>
              <w:jc w:val="center"/>
              <w:rPr>
                <w:rFonts w:hint="default"/>
              </w:rPr>
            </w:pPr>
            <w:r>
              <w:rPr>
                <w:sz w:val="21"/>
              </w:rPr>
              <w:t>28</w:t>
            </w:r>
          </w:p>
        </w:tc>
        <w:tc>
          <w:tcPr>
            <w:tcW w:w="371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4CC73B9">
            <w:pPr>
              <w:pStyle w:val="4"/>
              <w:rPr>
                <w:rFonts w:hint="default"/>
              </w:rPr>
            </w:pPr>
            <w:r>
              <w:rPr>
                <w:color w:val="000000"/>
                <w:sz w:val="21"/>
              </w:rPr>
              <w:t>达到详细城市设计深度。按照《广东省城市规划收费标准的建议（行业指导价）》十四、城市设计，重点地区修规2.2万元/公顷的收费60%，重要研究绿轴及轨道站点周边地块约21公顷（以最终实际面积为准）范围地下空间。</w:t>
            </w:r>
          </w:p>
        </w:tc>
      </w:tr>
      <w:tr w14:paraId="29D759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1" w:type="dxa"/>
            <w:vMerge w:val="continue"/>
            <w:tcBorders>
              <w:top w:val="nil"/>
              <w:left w:val="single" w:color="000000" w:sz="4" w:space="0"/>
              <w:bottom w:val="single" w:color="000000" w:sz="4" w:space="0"/>
              <w:right w:val="single" w:color="000000" w:sz="4" w:space="0"/>
            </w:tcBorders>
          </w:tcPr>
          <w:p w14:paraId="79154BB8"/>
        </w:tc>
        <w:tc>
          <w:tcPr>
            <w:tcW w:w="46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106D7D1">
            <w:pPr>
              <w:pStyle w:val="4"/>
              <w:jc w:val="center"/>
              <w:rPr>
                <w:rFonts w:hint="default"/>
              </w:rPr>
            </w:pPr>
            <w:r>
              <w:rPr>
                <w:color w:val="000000"/>
                <w:sz w:val="21"/>
              </w:rPr>
              <w:t>4</w:t>
            </w:r>
          </w:p>
        </w:tc>
        <w:tc>
          <w:tcPr>
            <w:tcW w:w="141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E923E13">
            <w:pPr>
              <w:pStyle w:val="4"/>
              <w:jc w:val="center"/>
              <w:rPr>
                <w:rFonts w:hint="default"/>
              </w:rPr>
            </w:pPr>
            <w:r>
              <w:rPr>
                <w:color w:val="000000"/>
                <w:sz w:val="21"/>
              </w:rPr>
              <w:t>产业发展评估</w:t>
            </w:r>
          </w:p>
        </w:tc>
        <w:tc>
          <w:tcPr>
            <w:tcW w:w="103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B642DE1">
            <w:pPr>
              <w:pStyle w:val="4"/>
              <w:jc w:val="center"/>
              <w:rPr>
                <w:rFonts w:hint="default"/>
              </w:rPr>
            </w:pPr>
          </w:p>
        </w:tc>
        <w:tc>
          <w:tcPr>
            <w:tcW w:w="8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D40D573">
            <w:pPr>
              <w:pStyle w:val="4"/>
              <w:jc w:val="center"/>
              <w:rPr>
                <w:rFonts w:hint="default"/>
              </w:rPr>
            </w:pPr>
            <w:r>
              <w:rPr>
                <w:sz w:val="21"/>
                <w:lang w:eastAsia="zh-CN"/>
              </w:rPr>
              <w:t>51</w:t>
            </w:r>
          </w:p>
        </w:tc>
        <w:tc>
          <w:tcPr>
            <w:tcW w:w="371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B4965E8">
            <w:pPr>
              <w:pStyle w:val="4"/>
              <w:rPr>
                <w:rFonts w:hint="default"/>
              </w:rPr>
            </w:pPr>
            <w:r>
              <w:rPr>
                <w:color w:val="000000"/>
                <w:sz w:val="21"/>
              </w:rPr>
              <w:t>参照《城市规划设计计费指导意见》（2017修订）第一条第1.1点，超大城市总体规划“专题研究”收费70万元。按照难度系数0.</w:t>
            </w:r>
            <w:r>
              <w:rPr>
                <w:color w:val="000000"/>
                <w:sz w:val="21"/>
                <w:lang w:eastAsia="zh-CN"/>
              </w:rPr>
              <w:t>73</w:t>
            </w:r>
            <w:r>
              <w:rPr>
                <w:color w:val="000000"/>
                <w:sz w:val="21"/>
              </w:rPr>
              <w:t>计取。</w:t>
            </w:r>
          </w:p>
        </w:tc>
      </w:tr>
      <w:tr w14:paraId="795B40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1" w:type="dxa"/>
            <w:vMerge w:val="continue"/>
            <w:tcBorders>
              <w:top w:val="nil"/>
              <w:left w:val="single" w:color="000000" w:sz="4" w:space="0"/>
              <w:bottom w:val="single" w:color="000000" w:sz="4" w:space="0"/>
              <w:right w:val="single" w:color="000000" w:sz="4" w:space="0"/>
            </w:tcBorders>
          </w:tcPr>
          <w:p w14:paraId="45A11750"/>
        </w:tc>
        <w:tc>
          <w:tcPr>
            <w:tcW w:w="46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0081F78">
            <w:pPr>
              <w:pStyle w:val="4"/>
              <w:jc w:val="center"/>
              <w:rPr>
                <w:rFonts w:hint="default"/>
              </w:rPr>
            </w:pPr>
            <w:r>
              <w:rPr>
                <w:color w:val="000000"/>
                <w:sz w:val="21"/>
              </w:rPr>
              <w:t>5</w:t>
            </w:r>
          </w:p>
        </w:tc>
        <w:tc>
          <w:tcPr>
            <w:tcW w:w="141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2AC1C67">
            <w:pPr>
              <w:pStyle w:val="4"/>
              <w:jc w:val="center"/>
              <w:rPr>
                <w:rFonts w:hint="default"/>
              </w:rPr>
            </w:pPr>
            <w:r>
              <w:rPr>
                <w:color w:val="000000"/>
                <w:sz w:val="21"/>
              </w:rPr>
              <w:t>城中村改造全生命周期数智化平台</w:t>
            </w:r>
          </w:p>
        </w:tc>
        <w:tc>
          <w:tcPr>
            <w:tcW w:w="103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FCA8523">
            <w:pPr>
              <w:pStyle w:val="4"/>
              <w:jc w:val="center"/>
              <w:rPr>
                <w:rFonts w:hint="default"/>
              </w:rPr>
            </w:pPr>
          </w:p>
        </w:tc>
        <w:tc>
          <w:tcPr>
            <w:tcW w:w="8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7629B3C">
            <w:pPr>
              <w:pStyle w:val="4"/>
              <w:jc w:val="center"/>
              <w:rPr>
                <w:rFonts w:hint="default"/>
              </w:rPr>
            </w:pPr>
            <w:r>
              <w:rPr>
                <w:color w:val="000000"/>
                <w:sz w:val="21"/>
                <w:lang w:eastAsia="zh-CN"/>
              </w:rPr>
              <w:t>300</w:t>
            </w:r>
          </w:p>
        </w:tc>
        <w:tc>
          <w:tcPr>
            <w:tcW w:w="371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CEA08AA">
            <w:pPr>
              <w:pStyle w:val="4"/>
              <w:rPr>
                <w:rFonts w:hint="default"/>
              </w:rPr>
            </w:pPr>
            <w:r>
              <w:rPr>
                <w:color w:val="000000"/>
                <w:sz w:val="21"/>
              </w:rPr>
              <w:t>依据《城市规划设计计费指导意见》（2017修订稿）第15.4智慧“城市规划”计费标准。按照5万元一个模块计费，大城市模块系数1.5系数计算。</w:t>
            </w:r>
          </w:p>
        </w:tc>
      </w:tr>
      <w:tr w14:paraId="30D0CC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1" w:type="dxa"/>
            <w:vMerge w:val="continue"/>
            <w:tcBorders>
              <w:top w:val="nil"/>
              <w:left w:val="single" w:color="000000" w:sz="4" w:space="0"/>
              <w:bottom w:val="single" w:color="000000" w:sz="4" w:space="0"/>
              <w:right w:val="single" w:color="000000" w:sz="4" w:space="0"/>
            </w:tcBorders>
          </w:tcPr>
          <w:p w14:paraId="3CCAC597"/>
        </w:tc>
        <w:tc>
          <w:tcPr>
            <w:tcW w:w="46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A0B03C0">
            <w:pPr>
              <w:pStyle w:val="4"/>
              <w:jc w:val="center"/>
              <w:rPr>
                <w:rFonts w:hint="default"/>
              </w:rPr>
            </w:pPr>
            <w:r>
              <w:rPr>
                <w:color w:val="000000"/>
                <w:sz w:val="21"/>
              </w:rPr>
              <w:t>6</w:t>
            </w:r>
          </w:p>
        </w:tc>
        <w:tc>
          <w:tcPr>
            <w:tcW w:w="141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39BCB0C">
            <w:pPr>
              <w:pStyle w:val="4"/>
              <w:jc w:val="center"/>
              <w:rPr>
                <w:rFonts w:hint="default"/>
              </w:rPr>
            </w:pPr>
            <w:r>
              <w:rPr>
                <w:color w:val="000000"/>
                <w:sz w:val="21"/>
              </w:rPr>
              <w:t>综合交通规划及分期实施规划</w:t>
            </w:r>
          </w:p>
        </w:tc>
        <w:tc>
          <w:tcPr>
            <w:tcW w:w="103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AC94D39">
            <w:pPr>
              <w:pStyle w:val="4"/>
              <w:jc w:val="center"/>
              <w:rPr>
                <w:rFonts w:hint="default"/>
              </w:rPr>
            </w:pPr>
            <w:r>
              <w:rPr>
                <w:color w:val="000000"/>
                <w:sz w:val="21"/>
              </w:rPr>
              <w:t>128.65</w:t>
            </w:r>
          </w:p>
        </w:tc>
        <w:tc>
          <w:tcPr>
            <w:tcW w:w="8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7A45096">
            <w:pPr>
              <w:pStyle w:val="4"/>
              <w:jc w:val="center"/>
              <w:rPr>
                <w:rFonts w:hint="default"/>
              </w:rPr>
            </w:pPr>
            <w:r>
              <w:rPr>
                <w:sz w:val="21"/>
              </w:rPr>
              <w:t>85</w:t>
            </w:r>
          </w:p>
        </w:tc>
        <w:tc>
          <w:tcPr>
            <w:tcW w:w="371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5B44BE8">
            <w:pPr>
              <w:pStyle w:val="4"/>
              <w:rPr>
                <w:rFonts w:hint="default"/>
              </w:rPr>
            </w:pPr>
            <w:r>
              <w:rPr>
                <w:color w:val="000000"/>
                <w:sz w:val="21"/>
              </w:rPr>
              <w:t>依据《城市规划设计计费指导意见》（2017修订稿）第10.6交通改善规划计费标准，本次改造实施范围用地面积为128.65公顷，按计费标准1.5万元/公顷计算。按照难度系数0.44计取。</w:t>
            </w:r>
          </w:p>
        </w:tc>
      </w:tr>
      <w:tr w14:paraId="1F68D3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1" w:type="dxa"/>
            <w:vMerge w:val="continue"/>
            <w:tcBorders>
              <w:top w:val="nil"/>
              <w:left w:val="single" w:color="000000" w:sz="4" w:space="0"/>
              <w:bottom w:val="single" w:color="000000" w:sz="4" w:space="0"/>
              <w:right w:val="single" w:color="000000" w:sz="4" w:space="0"/>
            </w:tcBorders>
          </w:tcPr>
          <w:p w14:paraId="554A3C41"/>
        </w:tc>
        <w:tc>
          <w:tcPr>
            <w:tcW w:w="46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BF67729">
            <w:pPr>
              <w:pStyle w:val="4"/>
              <w:jc w:val="center"/>
              <w:rPr>
                <w:rFonts w:hint="default"/>
              </w:rPr>
            </w:pPr>
            <w:r>
              <w:rPr>
                <w:color w:val="000000"/>
                <w:sz w:val="21"/>
              </w:rPr>
              <w:t>7</w:t>
            </w:r>
          </w:p>
        </w:tc>
        <w:tc>
          <w:tcPr>
            <w:tcW w:w="141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94628CC">
            <w:pPr>
              <w:pStyle w:val="4"/>
              <w:jc w:val="center"/>
              <w:rPr>
                <w:rFonts w:hint="default"/>
              </w:rPr>
            </w:pPr>
            <w:r>
              <w:rPr>
                <w:color w:val="000000"/>
                <w:sz w:val="21"/>
              </w:rPr>
              <w:t>交通影响评估</w:t>
            </w:r>
          </w:p>
        </w:tc>
        <w:tc>
          <w:tcPr>
            <w:tcW w:w="103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3981032">
            <w:pPr>
              <w:pStyle w:val="4"/>
              <w:jc w:val="center"/>
              <w:rPr>
                <w:rFonts w:hint="default"/>
              </w:rPr>
            </w:pPr>
          </w:p>
        </w:tc>
        <w:tc>
          <w:tcPr>
            <w:tcW w:w="8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BB23232">
            <w:pPr>
              <w:pStyle w:val="4"/>
              <w:jc w:val="center"/>
              <w:rPr>
                <w:rFonts w:hint="default"/>
              </w:rPr>
            </w:pPr>
            <w:r>
              <w:rPr>
                <w:sz w:val="21"/>
              </w:rPr>
              <w:t>82</w:t>
            </w:r>
          </w:p>
        </w:tc>
        <w:tc>
          <w:tcPr>
            <w:tcW w:w="371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E3C6E85">
            <w:pPr>
              <w:pStyle w:val="4"/>
              <w:rPr>
                <w:rFonts w:hint="default"/>
              </w:rPr>
            </w:pPr>
            <w:r>
              <w:rPr>
                <w:color w:val="000000"/>
                <w:sz w:val="21"/>
              </w:rPr>
              <w:t>依据《城市规划设计计费指导意见》（2017修订稿）第10.7交通影响评价计费标准。建筑规模＞100万平方米，按照1万元/万平方米报价。红卫村预估建设规模272万平方米，按照难度系数0.3计取。</w:t>
            </w:r>
          </w:p>
        </w:tc>
      </w:tr>
      <w:tr w14:paraId="58F55B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1" w:type="dxa"/>
            <w:vMerge w:val="continue"/>
            <w:tcBorders>
              <w:top w:val="nil"/>
              <w:left w:val="single" w:color="000000" w:sz="4" w:space="0"/>
              <w:bottom w:val="single" w:color="000000" w:sz="4" w:space="0"/>
              <w:right w:val="single" w:color="000000" w:sz="4" w:space="0"/>
            </w:tcBorders>
          </w:tcPr>
          <w:p w14:paraId="138CD13D"/>
        </w:tc>
        <w:tc>
          <w:tcPr>
            <w:tcW w:w="46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C43D8A5">
            <w:pPr>
              <w:pStyle w:val="4"/>
              <w:jc w:val="center"/>
              <w:rPr>
                <w:rFonts w:hint="default"/>
              </w:rPr>
            </w:pPr>
            <w:r>
              <w:rPr>
                <w:color w:val="000000"/>
                <w:sz w:val="21"/>
              </w:rPr>
              <w:t>8</w:t>
            </w:r>
          </w:p>
        </w:tc>
        <w:tc>
          <w:tcPr>
            <w:tcW w:w="141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1DAF05B">
            <w:pPr>
              <w:pStyle w:val="4"/>
              <w:jc w:val="center"/>
              <w:rPr>
                <w:rFonts w:hint="default"/>
              </w:rPr>
            </w:pPr>
            <w:r>
              <w:rPr>
                <w:color w:val="000000"/>
                <w:sz w:val="21"/>
              </w:rPr>
              <w:t>市政基础设施专项规划</w:t>
            </w:r>
          </w:p>
        </w:tc>
        <w:tc>
          <w:tcPr>
            <w:tcW w:w="103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743B8A9">
            <w:pPr>
              <w:pStyle w:val="4"/>
              <w:jc w:val="center"/>
              <w:rPr>
                <w:rFonts w:hint="default"/>
              </w:rPr>
            </w:pPr>
          </w:p>
        </w:tc>
        <w:tc>
          <w:tcPr>
            <w:tcW w:w="8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C1010EB">
            <w:pPr>
              <w:pStyle w:val="4"/>
              <w:jc w:val="center"/>
              <w:rPr>
                <w:rFonts w:hint="default"/>
              </w:rPr>
            </w:pPr>
            <w:r>
              <w:rPr>
                <w:color w:val="000000"/>
                <w:sz w:val="21"/>
              </w:rPr>
              <w:t>45</w:t>
            </w:r>
          </w:p>
        </w:tc>
        <w:tc>
          <w:tcPr>
            <w:tcW w:w="371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F660C5F">
            <w:pPr>
              <w:pStyle w:val="4"/>
              <w:rPr>
                <w:rFonts w:hint="default"/>
              </w:rPr>
            </w:pPr>
            <w:r>
              <w:rPr>
                <w:color w:val="000000"/>
                <w:sz w:val="21"/>
              </w:rPr>
              <w:t>依据《广东省城市规划收费标准的建议(行业指导价)》第十、十一进行计费，竖向专项28万元、给水专项28万元、排水专项42万元、电力专项20万元，通信专项20万元、燃气专项20万元、综合管廊专项28万元(参考给水专项收费)、供冷专项28万元(参考给水专项收费)、环卫专项20万元(参考燃气专项收费），共计234万元。按照难度系数0.44计取。</w:t>
            </w:r>
          </w:p>
        </w:tc>
      </w:tr>
      <w:tr w14:paraId="734419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1" w:type="dxa"/>
            <w:vMerge w:val="continue"/>
            <w:tcBorders>
              <w:top w:val="nil"/>
              <w:left w:val="single" w:color="000000" w:sz="4" w:space="0"/>
              <w:bottom w:val="single" w:color="000000" w:sz="4" w:space="0"/>
              <w:right w:val="single" w:color="000000" w:sz="4" w:space="0"/>
            </w:tcBorders>
          </w:tcPr>
          <w:p w14:paraId="57D25F2A"/>
        </w:tc>
        <w:tc>
          <w:tcPr>
            <w:tcW w:w="46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C99B057">
            <w:pPr>
              <w:pStyle w:val="4"/>
              <w:jc w:val="center"/>
              <w:rPr>
                <w:rFonts w:hint="default"/>
              </w:rPr>
            </w:pPr>
            <w:r>
              <w:rPr>
                <w:color w:val="000000"/>
                <w:sz w:val="21"/>
              </w:rPr>
              <w:t>9</w:t>
            </w:r>
          </w:p>
        </w:tc>
        <w:tc>
          <w:tcPr>
            <w:tcW w:w="141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F0ECA87">
            <w:pPr>
              <w:pStyle w:val="4"/>
              <w:jc w:val="center"/>
              <w:rPr>
                <w:rFonts w:hint="default"/>
              </w:rPr>
            </w:pPr>
            <w:r>
              <w:rPr>
                <w:color w:val="000000"/>
                <w:sz w:val="21"/>
              </w:rPr>
              <w:t>市政基础设施实施评估</w:t>
            </w:r>
          </w:p>
        </w:tc>
        <w:tc>
          <w:tcPr>
            <w:tcW w:w="103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57C7D7A">
            <w:pPr>
              <w:pStyle w:val="4"/>
              <w:jc w:val="center"/>
              <w:rPr>
                <w:rFonts w:hint="default"/>
              </w:rPr>
            </w:pPr>
          </w:p>
        </w:tc>
        <w:tc>
          <w:tcPr>
            <w:tcW w:w="8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3E68278">
            <w:pPr>
              <w:pStyle w:val="4"/>
              <w:jc w:val="center"/>
              <w:rPr>
                <w:rFonts w:hint="default"/>
              </w:rPr>
            </w:pPr>
            <w:r>
              <w:rPr>
                <w:sz w:val="21"/>
              </w:rPr>
              <w:t>115</w:t>
            </w:r>
          </w:p>
        </w:tc>
        <w:tc>
          <w:tcPr>
            <w:tcW w:w="371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D280492">
            <w:pPr>
              <w:pStyle w:val="4"/>
              <w:rPr>
                <w:rFonts w:hint="default"/>
              </w:rPr>
            </w:pPr>
            <w:r>
              <w:rPr>
                <w:color w:val="000000"/>
                <w:sz w:val="21"/>
              </w:rPr>
              <w:t>按照《城市规划设计计费指导意见》（2017修订）取费，涉及道路、竖向、给水、排水、电力、通信、燃气、环卫、消防、河涌、管线综合等十一项内容，根据规划范围面积，各专项按基价计取，难度系数取0.3计取。</w:t>
            </w:r>
          </w:p>
        </w:tc>
      </w:tr>
      <w:tr w14:paraId="233AF8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1" w:type="dxa"/>
            <w:vMerge w:val="continue"/>
            <w:tcBorders>
              <w:top w:val="nil"/>
              <w:left w:val="single" w:color="000000" w:sz="4" w:space="0"/>
              <w:bottom w:val="single" w:color="000000" w:sz="4" w:space="0"/>
              <w:right w:val="single" w:color="000000" w:sz="4" w:space="0"/>
            </w:tcBorders>
          </w:tcPr>
          <w:p w14:paraId="169CA3E2"/>
        </w:tc>
        <w:tc>
          <w:tcPr>
            <w:tcW w:w="46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247D35F">
            <w:pPr>
              <w:pStyle w:val="4"/>
              <w:jc w:val="center"/>
              <w:rPr>
                <w:rFonts w:hint="default"/>
              </w:rPr>
            </w:pPr>
            <w:r>
              <w:rPr>
                <w:color w:val="000000"/>
                <w:sz w:val="21"/>
              </w:rPr>
              <w:t>10</w:t>
            </w:r>
          </w:p>
        </w:tc>
        <w:tc>
          <w:tcPr>
            <w:tcW w:w="141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88494D0">
            <w:pPr>
              <w:pStyle w:val="4"/>
              <w:jc w:val="center"/>
              <w:rPr>
                <w:rFonts w:hint="default"/>
              </w:rPr>
            </w:pPr>
            <w:r>
              <w:rPr>
                <w:color w:val="000000"/>
                <w:sz w:val="21"/>
              </w:rPr>
              <w:t>社会稳定风险评估</w:t>
            </w:r>
          </w:p>
        </w:tc>
        <w:tc>
          <w:tcPr>
            <w:tcW w:w="103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14DDD55">
            <w:pPr>
              <w:pStyle w:val="4"/>
              <w:jc w:val="center"/>
              <w:rPr>
                <w:rFonts w:hint="default"/>
              </w:rPr>
            </w:pPr>
          </w:p>
        </w:tc>
        <w:tc>
          <w:tcPr>
            <w:tcW w:w="8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330E3B0">
            <w:pPr>
              <w:pStyle w:val="4"/>
              <w:jc w:val="center"/>
              <w:rPr>
                <w:rFonts w:hint="default"/>
              </w:rPr>
            </w:pPr>
            <w:r>
              <w:rPr>
                <w:sz w:val="21"/>
              </w:rPr>
              <w:t>20</w:t>
            </w:r>
          </w:p>
        </w:tc>
        <w:tc>
          <w:tcPr>
            <w:tcW w:w="371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59BC0A9">
            <w:pPr>
              <w:pStyle w:val="4"/>
              <w:rPr>
                <w:rFonts w:hint="default"/>
              </w:rPr>
            </w:pPr>
            <w:r>
              <w:rPr>
                <w:color w:val="000000"/>
                <w:sz w:val="21"/>
              </w:rPr>
              <w:t>根据国家发展计划委员会文件计价格〔1999〕1283号国家计委关于印发建设项目前期工作咨询收费暂行规定的通知进行收费。</w:t>
            </w:r>
          </w:p>
        </w:tc>
      </w:tr>
      <w:tr w14:paraId="6D3A26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1" w:type="dxa"/>
            <w:vMerge w:val="continue"/>
            <w:tcBorders>
              <w:top w:val="nil"/>
              <w:left w:val="single" w:color="000000" w:sz="4" w:space="0"/>
              <w:bottom w:val="single" w:color="000000" w:sz="4" w:space="0"/>
              <w:right w:val="single" w:color="000000" w:sz="4" w:space="0"/>
            </w:tcBorders>
          </w:tcPr>
          <w:p w14:paraId="285DF4F1"/>
        </w:tc>
        <w:tc>
          <w:tcPr>
            <w:tcW w:w="46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78A9279">
            <w:pPr>
              <w:pStyle w:val="4"/>
              <w:jc w:val="center"/>
              <w:rPr>
                <w:rFonts w:hint="default"/>
              </w:rPr>
            </w:pPr>
            <w:r>
              <w:rPr>
                <w:color w:val="000000"/>
                <w:sz w:val="21"/>
              </w:rPr>
              <w:t>11</w:t>
            </w:r>
          </w:p>
        </w:tc>
        <w:tc>
          <w:tcPr>
            <w:tcW w:w="141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A220C63">
            <w:pPr>
              <w:pStyle w:val="4"/>
              <w:jc w:val="center"/>
              <w:rPr>
                <w:rFonts w:hint="default"/>
              </w:rPr>
            </w:pPr>
            <w:r>
              <w:rPr>
                <w:color w:val="000000"/>
                <w:sz w:val="21"/>
              </w:rPr>
              <w:t>环境影响评价</w:t>
            </w:r>
          </w:p>
        </w:tc>
        <w:tc>
          <w:tcPr>
            <w:tcW w:w="103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7422966">
            <w:pPr>
              <w:pStyle w:val="4"/>
              <w:jc w:val="center"/>
              <w:rPr>
                <w:rFonts w:hint="default"/>
              </w:rPr>
            </w:pPr>
          </w:p>
        </w:tc>
        <w:tc>
          <w:tcPr>
            <w:tcW w:w="8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03B1C6C">
            <w:pPr>
              <w:pStyle w:val="4"/>
              <w:jc w:val="center"/>
              <w:rPr>
                <w:rFonts w:hint="default"/>
              </w:rPr>
            </w:pPr>
            <w:r>
              <w:rPr>
                <w:sz w:val="21"/>
              </w:rPr>
              <w:t>30</w:t>
            </w:r>
          </w:p>
        </w:tc>
        <w:tc>
          <w:tcPr>
            <w:tcW w:w="371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6BE4A6E">
            <w:pPr>
              <w:pStyle w:val="4"/>
              <w:rPr>
                <w:rFonts w:hint="default"/>
              </w:rPr>
            </w:pPr>
            <w:r>
              <w:rPr>
                <w:color w:val="000000"/>
                <w:sz w:val="21"/>
              </w:rPr>
              <w:t>根据《建设项目环境影响评价分类管理名录》（2021年）和《广州市发展改革委关于印发广州市本级政府投资项目估算编制指引的通知（穗发改〔2021〕86号）》的规定收费。</w:t>
            </w:r>
          </w:p>
        </w:tc>
      </w:tr>
      <w:tr w14:paraId="4332AF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1" w:type="dxa"/>
            <w:vMerge w:val="continue"/>
            <w:tcBorders>
              <w:top w:val="nil"/>
              <w:left w:val="single" w:color="000000" w:sz="4" w:space="0"/>
              <w:bottom w:val="single" w:color="000000" w:sz="4" w:space="0"/>
              <w:right w:val="single" w:color="000000" w:sz="4" w:space="0"/>
            </w:tcBorders>
          </w:tcPr>
          <w:p w14:paraId="6AEC22A1"/>
        </w:tc>
        <w:tc>
          <w:tcPr>
            <w:tcW w:w="46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FF966E8">
            <w:pPr>
              <w:pStyle w:val="4"/>
              <w:jc w:val="center"/>
              <w:rPr>
                <w:rFonts w:hint="default"/>
              </w:rPr>
            </w:pPr>
            <w:r>
              <w:rPr>
                <w:color w:val="000000"/>
                <w:sz w:val="21"/>
              </w:rPr>
              <w:t>12</w:t>
            </w:r>
          </w:p>
        </w:tc>
        <w:tc>
          <w:tcPr>
            <w:tcW w:w="141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DEDCC31">
            <w:pPr>
              <w:pStyle w:val="4"/>
              <w:jc w:val="center"/>
              <w:rPr>
                <w:rFonts w:hint="default"/>
              </w:rPr>
            </w:pPr>
            <w:r>
              <w:rPr>
                <w:color w:val="000000"/>
                <w:sz w:val="21"/>
              </w:rPr>
              <w:t>历史文化遗产保护评估</w:t>
            </w:r>
          </w:p>
        </w:tc>
        <w:tc>
          <w:tcPr>
            <w:tcW w:w="103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6BF3BA8">
            <w:pPr>
              <w:pStyle w:val="4"/>
              <w:jc w:val="center"/>
              <w:rPr>
                <w:rFonts w:hint="default"/>
              </w:rPr>
            </w:pPr>
          </w:p>
        </w:tc>
        <w:tc>
          <w:tcPr>
            <w:tcW w:w="8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1607D4A">
            <w:pPr>
              <w:pStyle w:val="4"/>
              <w:jc w:val="center"/>
              <w:rPr>
                <w:rFonts w:hint="default"/>
              </w:rPr>
            </w:pPr>
            <w:r>
              <w:rPr>
                <w:sz w:val="21"/>
              </w:rPr>
              <w:t>30</w:t>
            </w:r>
          </w:p>
        </w:tc>
        <w:tc>
          <w:tcPr>
            <w:tcW w:w="371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DB350E1">
            <w:pPr>
              <w:pStyle w:val="4"/>
              <w:rPr>
                <w:rFonts w:hint="default"/>
              </w:rPr>
            </w:pPr>
            <w:r>
              <w:rPr>
                <w:color w:val="000000"/>
                <w:sz w:val="21"/>
              </w:rPr>
              <w:t>参照《城市规划设计计费指导意见》（2017修订）第一条第1.1点，超大城市总体规划“专题研究”收费70万元。按照难度系数0.4计取。</w:t>
            </w:r>
          </w:p>
        </w:tc>
      </w:tr>
      <w:tr w14:paraId="0D095D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1" w:type="dxa"/>
            <w:vMerge w:val="continue"/>
            <w:tcBorders>
              <w:top w:val="nil"/>
              <w:left w:val="single" w:color="000000" w:sz="4" w:space="0"/>
              <w:bottom w:val="single" w:color="000000" w:sz="4" w:space="0"/>
              <w:right w:val="single" w:color="000000" w:sz="4" w:space="0"/>
            </w:tcBorders>
          </w:tcPr>
          <w:p w14:paraId="0A75C508"/>
        </w:tc>
        <w:tc>
          <w:tcPr>
            <w:tcW w:w="46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3148C49">
            <w:pPr>
              <w:pStyle w:val="4"/>
              <w:jc w:val="center"/>
              <w:rPr>
                <w:rFonts w:hint="default"/>
              </w:rPr>
            </w:pPr>
            <w:r>
              <w:rPr>
                <w:color w:val="000000"/>
                <w:sz w:val="21"/>
              </w:rPr>
              <w:t>13</w:t>
            </w:r>
          </w:p>
        </w:tc>
        <w:tc>
          <w:tcPr>
            <w:tcW w:w="141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656B832">
            <w:pPr>
              <w:pStyle w:val="4"/>
              <w:jc w:val="center"/>
              <w:rPr>
                <w:rFonts w:hint="default"/>
              </w:rPr>
            </w:pPr>
            <w:r>
              <w:rPr>
                <w:color w:val="000000"/>
                <w:sz w:val="21"/>
              </w:rPr>
              <w:t>海绵城市（洪涝安全评估）专题</w:t>
            </w:r>
          </w:p>
        </w:tc>
        <w:tc>
          <w:tcPr>
            <w:tcW w:w="103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7E50A50">
            <w:pPr>
              <w:pStyle w:val="4"/>
              <w:jc w:val="center"/>
              <w:rPr>
                <w:rFonts w:hint="default"/>
              </w:rPr>
            </w:pPr>
          </w:p>
        </w:tc>
        <w:tc>
          <w:tcPr>
            <w:tcW w:w="8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8C98916">
            <w:pPr>
              <w:pStyle w:val="4"/>
              <w:jc w:val="center"/>
              <w:rPr>
                <w:rFonts w:hint="default"/>
              </w:rPr>
            </w:pPr>
            <w:r>
              <w:rPr>
                <w:sz w:val="21"/>
              </w:rPr>
              <w:t>55</w:t>
            </w:r>
          </w:p>
        </w:tc>
        <w:tc>
          <w:tcPr>
            <w:tcW w:w="371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69CEBA8">
            <w:pPr>
              <w:pStyle w:val="4"/>
              <w:rPr>
                <w:rFonts w:hint="default"/>
              </w:rPr>
            </w:pPr>
            <w:r>
              <w:rPr>
                <w:color w:val="000000"/>
                <w:sz w:val="21"/>
              </w:rPr>
              <w:t>根据《广东省城市规划收费标准的建议》十一、市政公用设施规划中的城市竖向规划和十、城市消防、防洪系统规划收费设计计费基价收费。城市竖向规划，小于20平方公里，28万，小于50平方公里，55万，小于100平方公里，90万，大于100平方公里，以0.6万元每平方公里递增消防规划，小于20平方公里，28万，小于50平方公里，55万，小于100平方公里，90万，大于100平方公里，以0.6万元每平方公里递增防洪规划，小于20平方公里，20万，小于50平方公里，35万，小于100平方公里，50万，大于100平方公里，以0.4万元每平方公里递增结合项目实际情况。</w:t>
            </w:r>
          </w:p>
        </w:tc>
      </w:tr>
      <w:tr w14:paraId="2CC816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1" w:type="dxa"/>
            <w:vMerge w:val="continue"/>
            <w:tcBorders>
              <w:top w:val="nil"/>
              <w:left w:val="single" w:color="000000" w:sz="4" w:space="0"/>
              <w:bottom w:val="single" w:color="000000" w:sz="4" w:space="0"/>
              <w:right w:val="single" w:color="000000" w:sz="4" w:space="0"/>
            </w:tcBorders>
          </w:tcPr>
          <w:p w14:paraId="3B59BBE9"/>
        </w:tc>
        <w:tc>
          <w:tcPr>
            <w:tcW w:w="46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C8AABFD">
            <w:pPr>
              <w:pStyle w:val="4"/>
              <w:jc w:val="center"/>
              <w:rPr>
                <w:rFonts w:hint="default"/>
              </w:rPr>
            </w:pPr>
            <w:r>
              <w:rPr>
                <w:color w:val="000000"/>
                <w:sz w:val="21"/>
              </w:rPr>
              <w:t>14</w:t>
            </w:r>
          </w:p>
        </w:tc>
        <w:tc>
          <w:tcPr>
            <w:tcW w:w="141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EF4FAA6">
            <w:pPr>
              <w:pStyle w:val="4"/>
              <w:jc w:val="center"/>
              <w:rPr>
                <w:rFonts w:hint="default"/>
              </w:rPr>
            </w:pPr>
            <w:r>
              <w:rPr>
                <w:color w:val="000000"/>
                <w:sz w:val="21"/>
              </w:rPr>
              <w:t>地质灾害危险性评估</w:t>
            </w:r>
          </w:p>
        </w:tc>
        <w:tc>
          <w:tcPr>
            <w:tcW w:w="103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740A851">
            <w:pPr>
              <w:pStyle w:val="4"/>
              <w:jc w:val="center"/>
              <w:rPr>
                <w:rFonts w:hint="default"/>
              </w:rPr>
            </w:pPr>
          </w:p>
        </w:tc>
        <w:tc>
          <w:tcPr>
            <w:tcW w:w="8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6860891">
            <w:pPr>
              <w:pStyle w:val="4"/>
              <w:jc w:val="center"/>
              <w:rPr>
                <w:rFonts w:hint="default"/>
              </w:rPr>
            </w:pPr>
            <w:r>
              <w:rPr>
                <w:sz w:val="21"/>
              </w:rPr>
              <w:t>60</w:t>
            </w:r>
          </w:p>
        </w:tc>
        <w:tc>
          <w:tcPr>
            <w:tcW w:w="371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F034DB0">
            <w:pPr>
              <w:pStyle w:val="4"/>
              <w:rPr>
                <w:rFonts w:hint="default"/>
              </w:rPr>
            </w:pPr>
            <w:r>
              <w:rPr>
                <w:sz w:val="21"/>
              </w:rPr>
              <w:t>①地质灾害评估报告费用：根据《广东省地质灾害危险性评估取费指导价格（2017年3月9日）》，地质灾害评估取费基准价=地质灾害评估基本取费×工程类别调整系数（K1）×工程规模调整系数（K2）×地区调整系数（K3），根据《广东省地质灾害危险性评估实施细则》（2023 年1 月修订版）表3-2 判定本片区地质环境条件复杂程度为复杂，地质灾害评估基本取费为220000 元，K1取1.0，K2=1+（评估面积-1）/2=2，K3取1.0，地质灾害评估报告编制费用=220000元×1×2×1=440000元。②钻探实物工作费用：根据《工程勘察设计收费导则》（2021 年版），布设钻孔约30个，每个孔深预估35 米（其中土层预估30米，每米490元，岩层预估5米，每米880元），预计总进尺为2275米，则此项费用为=（490×30+880×5）×65=573000元；综上，考虑到项目的难易程度及工作基础，本次收费按60%计取。</w:t>
            </w:r>
          </w:p>
        </w:tc>
      </w:tr>
      <w:tr w14:paraId="29A8D5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1" w:type="dxa"/>
            <w:vMerge w:val="continue"/>
            <w:tcBorders>
              <w:top w:val="nil"/>
              <w:left w:val="single" w:color="000000" w:sz="4" w:space="0"/>
              <w:bottom w:val="single" w:color="000000" w:sz="4" w:space="0"/>
              <w:right w:val="single" w:color="000000" w:sz="4" w:space="0"/>
            </w:tcBorders>
          </w:tcPr>
          <w:p w14:paraId="13123EDA"/>
        </w:tc>
        <w:tc>
          <w:tcPr>
            <w:tcW w:w="46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E01FB73">
            <w:pPr>
              <w:pStyle w:val="4"/>
              <w:jc w:val="center"/>
              <w:rPr>
                <w:rFonts w:hint="default"/>
              </w:rPr>
            </w:pPr>
            <w:r>
              <w:rPr>
                <w:color w:val="000000"/>
                <w:sz w:val="21"/>
              </w:rPr>
              <w:t>15</w:t>
            </w:r>
          </w:p>
        </w:tc>
        <w:tc>
          <w:tcPr>
            <w:tcW w:w="141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D1844D7">
            <w:pPr>
              <w:pStyle w:val="4"/>
              <w:jc w:val="center"/>
              <w:rPr>
                <w:rFonts w:hint="default"/>
                <w:lang w:eastAsia="zh-CN"/>
              </w:rPr>
            </w:pPr>
            <w:r>
              <w:rPr>
                <w:color w:val="000000"/>
                <w:sz w:val="21"/>
              </w:rPr>
              <w:t>土壤环境污染整体排查及启动区初步调查</w:t>
            </w:r>
          </w:p>
        </w:tc>
        <w:tc>
          <w:tcPr>
            <w:tcW w:w="103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715D2AE">
            <w:pPr>
              <w:pStyle w:val="4"/>
              <w:jc w:val="center"/>
              <w:rPr>
                <w:rFonts w:hint="default"/>
              </w:rPr>
            </w:pPr>
          </w:p>
        </w:tc>
        <w:tc>
          <w:tcPr>
            <w:tcW w:w="8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B4050AC">
            <w:pPr>
              <w:pStyle w:val="4"/>
              <w:jc w:val="center"/>
              <w:rPr>
                <w:rFonts w:hint="default"/>
              </w:rPr>
            </w:pPr>
            <w:r>
              <w:rPr>
                <w:sz w:val="21"/>
              </w:rPr>
              <w:t>32</w:t>
            </w:r>
          </w:p>
        </w:tc>
        <w:tc>
          <w:tcPr>
            <w:tcW w:w="371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D63D32A">
            <w:pPr>
              <w:pStyle w:val="4"/>
              <w:rPr>
                <w:rFonts w:hint="default"/>
              </w:rPr>
            </w:pPr>
            <w:r>
              <w:rPr>
                <w:sz w:val="21"/>
              </w:rPr>
              <w:t>参考《关于规范环境影响咨询收费有关问题的通知》(计价格</w:t>
            </w:r>
            <w:r>
              <w:rPr>
                <w:color w:val="000000"/>
                <w:sz w:val="21"/>
              </w:rPr>
              <w:t>〔2002〕</w:t>
            </w:r>
            <w:r>
              <w:rPr>
                <w:sz w:val="21"/>
              </w:rPr>
              <w:t>125号)、《广东省环境监测行业指导价（2018）》，并进行市场价调节，初步调查面积约6万平方米（以最终实际面积为准），单价按照8.5元/平方米计算</w:t>
            </w:r>
            <w:r>
              <w:rPr>
                <w:color w:val="000000"/>
                <w:sz w:val="21"/>
              </w:rPr>
              <w:t>。</w:t>
            </w:r>
          </w:p>
        </w:tc>
      </w:tr>
      <w:tr w14:paraId="6C2FD8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1" w:type="dxa"/>
            <w:vMerge w:val="continue"/>
            <w:tcBorders>
              <w:top w:val="nil"/>
              <w:left w:val="single" w:color="000000" w:sz="4" w:space="0"/>
              <w:bottom w:val="single" w:color="000000" w:sz="4" w:space="0"/>
              <w:right w:val="single" w:color="000000" w:sz="4" w:space="0"/>
            </w:tcBorders>
          </w:tcPr>
          <w:p w14:paraId="4D1A9C46"/>
        </w:tc>
        <w:tc>
          <w:tcPr>
            <w:tcW w:w="46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0EA1362">
            <w:pPr>
              <w:pStyle w:val="4"/>
              <w:jc w:val="center"/>
              <w:rPr>
                <w:rFonts w:hint="default"/>
              </w:rPr>
            </w:pPr>
            <w:r>
              <w:rPr>
                <w:color w:val="000000"/>
                <w:sz w:val="21"/>
              </w:rPr>
              <w:t>16</w:t>
            </w:r>
          </w:p>
        </w:tc>
        <w:tc>
          <w:tcPr>
            <w:tcW w:w="141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EF643EE">
            <w:pPr>
              <w:pStyle w:val="4"/>
              <w:jc w:val="center"/>
              <w:rPr>
                <w:rFonts w:hint="default"/>
                <w:lang w:eastAsia="zh-CN"/>
              </w:rPr>
            </w:pPr>
            <w:r>
              <w:rPr>
                <w:b w:val="0"/>
                <w:color w:val="000000"/>
                <w:sz w:val="21"/>
                <w:lang w:eastAsia="zh-Hans"/>
              </w:rPr>
              <w:t>第一阶段树木保护专章报告</w:t>
            </w:r>
          </w:p>
        </w:tc>
        <w:tc>
          <w:tcPr>
            <w:tcW w:w="103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898FD8B">
            <w:pPr>
              <w:pStyle w:val="4"/>
              <w:jc w:val="center"/>
              <w:rPr>
                <w:rFonts w:hint="default"/>
              </w:rPr>
            </w:pPr>
          </w:p>
        </w:tc>
        <w:tc>
          <w:tcPr>
            <w:tcW w:w="8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0438F8B">
            <w:pPr>
              <w:pStyle w:val="4"/>
              <w:jc w:val="center"/>
              <w:rPr>
                <w:rFonts w:hint="default"/>
              </w:rPr>
            </w:pPr>
            <w:r>
              <w:rPr>
                <w:sz w:val="21"/>
              </w:rPr>
              <w:t>30</w:t>
            </w:r>
          </w:p>
        </w:tc>
        <w:tc>
          <w:tcPr>
            <w:tcW w:w="371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AE69D5E">
            <w:pPr>
              <w:pStyle w:val="4"/>
              <w:rPr>
                <w:rFonts w:hint="default"/>
              </w:rPr>
            </w:pPr>
            <w:r>
              <w:rPr>
                <w:color w:val="000000"/>
                <w:sz w:val="21"/>
              </w:rPr>
              <w:t>参照《城市规划设计计费指导意见》（2017修订）第一条第1.1点，超大城市总体规划“专题研究”收费70万元。按照难度系数0.4</w:t>
            </w:r>
            <w:r>
              <w:rPr>
                <w:color w:val="000000"/>
                <w:sz w:val="21"/>
                <w:lang w:eastAsia="zh-CN"/>
              </w:rPr>
              <w:t>3</w:t>
            </w:r>
            <w:r>
              <w:rPr>
                <w:color w:val="000000"/>
                <w:sz w:val="21"/>
              </w:rPr>
              <w:t>计取。</w:t>
            </w:r>
          </w:p>
        </w:tc>
      </w:tr>
      <w:tr w14:paraId="06EABB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1" w:type="dxa"/>
            <w:tcBorders>
              <w:top w:val="nil"/>
              <w:left w:val="single" w:color="000000" w:sz="4" w:space="0"/>
              <w:bottom w:val="single" w:color="000000" w:sz="4" w:space="0"/>
              <w:right w:val="single" w:color="000000" w:sz="4" w:space="0"/>
            </w:tcBorders>
          </w:tcPr>
          <w:p w14:paraId="7A4A4FCB"/>
        </w:tc>
        <w:tc>
          <w:tcPr>
            <w:tcW w:w="46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FE41489">
            <w:pPr>
              <w:pStyle w:val="4"/>
              <w:jc w:val="center"/>
              <w:rPr>
                <w:rFonts w:hint="default"/>
                <w:color w:val="000000"/>
                <w:sz w:val="21"/>
                <w:lang w:eastAsia="zh-CN"/>
              </w:rPr>
            </w:pPr>
            <w:r>
              <w:rPr>
                <w:color w:val="000000"/>
                <w:sz w:val="21"/>
                <w:lang w:eastAsia="zh-CN"/>
              </w:rPr>
              <w:t>17</w:t>
            </w:r>
          </w:p>
        </w:tc>
        <w:tc>
          <w:tcPr>
            <w:tcW w:w="14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BF493ED">
            <w:pPr>
              <w:pStyle w:val="4"/>
              <w:jc w:val="center"/>
              <w:rPr>
                <w:rFonts w:hint="default"/>
                <w:color w:val="000000"/>
                <w:sz w:val="21"/>
              </w:rPr>
            </w:pPr>
            <w:r>
              <w:rPr>
                <w:rFonts w:asciiTheme="minorHAnsi" w:hAnsiTheme="minorHAnsi" w:eastAsiaTheme="minorEastAsia" w:cstheme="minorBidi"/>
                <w:color w:val="000000"/>
                <w:sz w:val="21"/>
                <w:szCs w:val="21"/>
              </w:rPr>
              <w:t>项目全流程咨询与服务</w:t>
            </w:r>
          </w:p>
        </w:tc>
        <w:tc>
          <w:tcPr>
            <w:tcW w:w="10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0DBC1DE">
            <w:pPr>
              <w:pStyle w:val="4"/>
              <w:jc w:val="center"/>
              <w:rPr>
                <w:rFonts w:hint="default"/>
                <w:color w:val="000000"/>
                <w:sz w:val="21"/>
              </w:rPr>
            </w:pPr>
          </w:p>
        </w:tc>
        <w:tc>
          <w:tcPr>
            <w:tcW w:w="89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9A92229">
            <w:pPr>
              <w:pStyle w:val="4"/>
              <w:jc w:val="center"/>
              <w:rPr>
                <w:rFonts w:hint="eastAsia"/>
                <w:color w:val="000000"/>
                <w:sz w:val="21"/>
                <w:lang w:eastAsia="zh-CN"/>
              </w:rPr>
            </w:pPr>
            <w:r>
              <w:rPr>
                <w:color w:val="000000"/>
                <w:sz w:val="21"/>
                <w:lang w:eastAsia="zh-CN"/>
              </w:rPr>
              <w:t>600</w:t>
            </w:r>
          </w:p>
        </w:tc>
        <w:tc>
          <w:tcPr>
            <w:tcW w:w="37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89067CB">
            <w:pPr>
              <w:pStyle w:val="4"/>
              <w:rPr>
                <w:rFonts w:hint="default"/>
                <w:color w:val="000000"/>
                <w:sz w:val="21"/>
              </w:rPr>
            </w:pPr>
            <w:r>
              <w:rPr>
                <w:rFonts w:asciiTheme="minorHAnsi" w:hAnsiTheme="minorHAnsi" w:eastAsiaTheme="minorEastAsia" w:cstheme="minorBidi"/>
                <w:color w:val="000000"/>
                <w:sz w:val="21"/>
                <w:szCs w:val="21"/>
              </w:rPr>
              <w:t>根据国家发展计划委员会文件计价格</w:t>
            </w:r>
            <w:r>
              <w:rPr>
                <w:rFonts w:hint="default" w:asciiTheme="minorHAnsi" w:hAnsiTheme="minorHAnsi" w:eastAsiaTheme="minorEastAsia" w:cstheme="minorBidi"/>
                <w:color w:val="000000"/>
                <w:sz w:val="21"/>
                <w:szCs w:val="21"/>
              </w:rPr>
              <w:t>(1999)1283</w:t>
            </w:r>
            <w:r>
              <w:rPr>
                <w:rFonts w:asciiTheme="minorHAnsi" w:hAnsiTheme="minorHAnsi" w:eastAsiaTheme="minorEastAsia" w:cstheme="minorBidi"/>
                <w:color w:val="000000"/>
                <w:sz w:val="21"/>
                <w:szCs w:val="21"/>
              </w:rPr>
              <w:t>号国家计委关于印发建设项目前期工作咨询收费暂行规定的通知进行计费。</w:t>
            </w:r>
          </w:p>
        </w:tc>
      </w:tr>
      <w:tr w14:paraId="1A5F86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1"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14:paraId="029BCB32">
            <w:pPr>
              <w:pStyle w:val="4"/>
              <w:jc w:val="center"/>
              <w:rPr>
                <w:rFonts w:hint="default"/>
              </w:rPr>
            </w:pPr>
            <w:r>
              <w:rPr>
                <w:color w:val="000000"/>
                <w:sz w:val="21"/>
              </w:rPr>
              <w:t>第二</w:t>
            </w:r>
          </w:p>
          <w:p w14:paraId="2DCEF789">
            <w:pPr>
              <w:pStyle w:val="4"/>
              <w:jc w:val="center"/>
              <w:rPr>
                <w:rFonts w:hint="default"/>
              </w:rPr>
            </w:pPr>
            <w:r>
              <w:rPr>
                <w:color w:val="000000"/>
                <w:sz w:val="21"/>
              </w:rPr>
              <w:t>阶段</w:t>
            </w:r>
          </w:p>
        </w:tc>
        <w:tc>
          <w:tcPr>
            <w:tcW w:w="46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7FB095A">
            <w:pPr>
              <w:pStyle w:val="4"/>
              <w:jc w:val="center"/>
              <w:rPr>
                <w:rFonts w:hint="default"/>
              </w:rPr>
            </w:pPr>
            <w:r>
              <w:rPr>
                <w:color w:val="000000"/>
                <w:sz w:val="21"/>
              </w:rPr>
              <w:t>1</w:t>
            </w:r>
            <w:r>
              <w:rPr>
                <w:color w:val="000000"/>
                <w:sz w:val="21"/>
                <w:lang w:eastAsia="zh-CN"/>
              </w:rPr>
              <w:t>8</w:t>
            </w:r>
          </w:p>
        </w:tc>
        <w:tc>
          <w:tcPr>
            <w:tcW w:w="141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4A2B695">
            <w:pPr>
              <w:pStyle w:val="4"/>
              <w:jc w:val="center"/>
              <w:rPr>
                <w:rFonts w:hint="default"/>
              </w:rPr>
            </w:pPr>
            <w:r>
              <w:rPr>
                <w:color w:val="000000"/>
                <w:sz w:val="21"/>
              </w:rPr>
              <w:t>控规调整方案</w:t>
            </w:r>
            <w:r>
              <w:br w:type="textWrapping"/>
            </w:r>
            <w:r>
              <w:rPr>
                <w:color w:val="000000"/>
                <w:sz w:val="21"/>
              </w:rPr>
              <w:t>（片区城市更新单元详细规划）</w:t>
            </w:r>
          </w:p>
        </w:tc>
        <w:tc>
          <w:tcPr>
            <w:tcW w:w="103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14359C2">
            <w:pPr>
              <w:pStyle w:val="4"/>
              <w:jc w:val="center"/>
              <w:rPr>
                <w:rFonts w:hint="default"/>
              </w:rPr>
            </w:pPr>
            <w:r>
              <w:rPr>
                <w:sz w:val="21"/>
              </w:rPr>
              <w:t>846.32</w:t>
            </w:r>
          </w:p>
        </w:tc>
        <w:tc>
          <w:tcPr>
            <w:tcW w:w="8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FD7230C">
            <w:pPr>
              <w:pStyle w:val="4"/>
              <w:jc w:val="center"/>
              <w:rPr>
                <w:rFonts w:hint="default"/>
              </w:rPr>
            </w:pPr>
            <w:r>
              <w:rPr>
                <w:sz w:val="21"/>
              </w:rPr>
              <w:t>305</w:t>
            </w:r>
          </w:p>
        </w:tc>
        <w:tc>
          <w:tcPr>
            <w:tcW w:w="371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B684658">
            <w:pPr>
              <w:pStyle w:val="4"/>
              <w:rPr>
                <w:rFonts w:hint="default"/>
              </w:rPr>
            </w:pPr>
            <w:r>
              <w:rPr>
                <w:color w:val="000000"/>
                <w:sz w:val="21"/>
              </w:rPr>
              <w:t>根据《城市规划设计计费指导意见》（2017修订）3.1.1控制性详细规划，城市重点地段按照4000元/公顷计费。规划涉及管理单元共845公顷。按照三期调整逐次计算。考虑到控规调整新增规模较大，按难度系数1.8计取。按照难度系数0.9计取。</w:t>
            </w:r>
          </w:p>
        </w:tc>
      </w:tr>
      <w:tr w14:paraId="117541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1" w:type="dxa"/>
            <w:vMerge w:val="continue"/>
            <w:tcBorders>
              <w:top w:val="nil"/>
              <w:left w:val="single" w:color="000000" w:sz="4" w:space="0"/>
              <w:bottom w:val="single" w:color="000000" w:sz="4" w:space="0"/>
              <w:right w:val="single" w:color="000000" w:sz="4" w:space="0"/>
            </w:tcBorders>
          </w:tcPr>
          <w:p w14:paraId="5DBD3857"/>
        </w:tc>
        <w:tc>
          <w:tcPr>
            <w:tcW w:w="46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F2737A0">
            <w:pPr>
              <w:pStyle w:val="4"/>
              <w:jc w:val="center"/>
              <w:rPr>
                <w:rFonts w:hint="default"/>
              </w:rPr>
            </w:pPr>
            <w:r>
              <w:rPr>
                <w:color w:val="000000"/>
                <w:sz w:val="21"/>
              </w:rPr>
              <w:t>1</w:t>
            </w:r>
            <w:r>
              <w:rPr>
                <w:color w:val="000000"/>
                <w:sz w:val="21"/>
                <w:lang w:eastAsia="zh-CN"/>
              </w:rPr>
              <w:t>9</w:t>
            </w:r>
          </w:p>
        </w:tc>
        <w:tc>
          <w:tcPr>
            <w:tcW w:w="141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E8DBCAE">
            <w:pPr>
              <w:pStyle w:val="4"/>
              <w:jc w:val="center"/>
              <w:rPr>
                <w:rFonts w:hint="default"/>
              </w:rPr>
            </w:pPr>
            <w:r>
              <w:rPr>
                <w:color w:val="000000"/>
                <w:sz w:val="21"/>
              </w:rPr>
              <w:t>片区城市设计</w:t>
            </w:r>
          </w:p>
        </w:tc>
        <w:tc>
          <w:tcPr>
            <w:tcW w:w="103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E8C4AF4">
            <w:pPr>
              <w:pStyle w:val="4"/>
              <w:jc w:val="center"/>
              <w:rPr>
                <w:rFonts w:hint="default"/>
              </w:rPr>
            </w:pPr>
            <w:r>
              <w:rPr>
                <w:color w:val="000000"/>
                <w:sz w:val="21"/>
              </w:rPr>
              <w:t>128.65</w:t>
            </w:r>
          </w:p>
        </w:tc>
        <w:tc>
          <w:tcPr>
            <w:tcW w:w="8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7247A7C">
            <w:pPr>
              <w:pStyle w:val="4"/>
              <w:jc w:val="center"/>
              <w:rPr>
                <w:rFonts w:hint="default"/>
              </w:rPr>
            </w:pPr>
            <w:r>
              <w:rPr>
                <w:sz w:val="21"/>
                <w:lang w:eastAsia="zh-CN"/>
              </w:rPr>
              <w:t>28</w:t>
            </w:r>
            <w:r>
              <w:rPr>
                <w:sz w:val="21"/>
              </w:rPr>
              <w:t>8</w:t>
            </w:r>
          </w:p>
        </w:tc>
        <w:tc>
          <w:tcPr>
            <w:tcW w:w="371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D7BCD05">
            <w:pPr>
              <w:pStyle w:val="4"/>
              <w:rPr>
                <w:rFonts w:hint="default"/>
              </w:rPr>
            </w:pPr>
            <w:r>
              <w:rPr>
                <w:color w:val="000000"/>
                <w:sz w:val="21"/>
              </w:rPr>
              <w:t>改造范围内达到详细城市设计深度。按照《城市规划设计计费指导意见》（2017修订）7.2重点地区城市设计，按改造范围128.65公顷阶梯计费。按照难度系数0.8计取。</w:t>
            </w:r>
          </w:p>
        </w:tc>
      </w:tr>
      <w:tr w14:paraId="76B1E7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53" w:type="dxa"/>
            <w:gridSpan w:val="3"/>
            <w:tcBorders>
              <w:top w:val="nil"/>
              <w:left w:val="single" w:color="000000" w:sz="4" w:space="0"/>
              <w:bottom w:val="single" w:color="000000" w:sz="4" w:space="0"/>
              <w:right w:val="single" w:color="000000" w:sz="4" w:space="0"/>
            </w:tcBorders>
            <w:tcMar>
              <w:top w:w="0" w:type="dxa"/>
              <w:left w:w="0" w:type="dxa"/>
              <w:bottom w:w="0" w:type="dxa"/>
              <w:right w:w="0" w:type="dxa"/>
            </w:tcMar>
          </w:tcPr>
          <w:p w14:paraId="5A529864">
            <w:pPr>
              <w:pStyle w:val="4"/>
              <w:jc w:val="center"/>
              <w:rPr>
                <w:rFonts w:hint="default"/>
              </w:rPr>
            </w:pPr>
            <w:r>
              <w:rPr>
                <w:b/>
                <w:color w:val="000000"/>
                <w:sz w:val="21"/>
              </w:rPr>
              <w:t>合计</w:t>
            </w:r>
          </w:p>
        </w:tc>
        <w:tc>
          <w:tcPr>
            <w:tcW w:w="103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DAD18E2">
            <w:pPr>
              <w:pStyle w:val="4"/>
              <w:jc w:val="center"/>
              <w:rPr>
                <w:rFonts w:hint="default"/>
              </w:rPr>
            </w:pPr>
            <w:r>
              <w:rPr>
                <w:b/>
                <w:color w:val="000000"/>
                <w:sz w:val="21"/>
              </w:rPr>
              <w:t>——</w:t>
            </w:r>
          </w:p>
        </w:tc>
        <w:tc>
          <w:tcPr>
            <w:tcW w:w="89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4A066CC">
            <w:pPr>
              <w:pStyle w:val="4"/>
              <w:jc w:val="center"/>
              <w:rPr>
                <w:rFonts w:hint="default"/>
              </w:rPr>
            </w:pPr>
            <w:r>
              <w:rPr>
                <w:color w:val="000000"/>
                <w:sz w:val="21"/>
              </w:rPr>
              <w:t>2</w:t>
            </w:r>
            <w:r>
              <w:rPr>
                <w:color w:val="000000"/>
                <w:sz w:val="21"/>
                <w:lang w:eastAsia="zh-CN"/>
              </w:rPr>
              <w:t>600</w:t>
            </w:r>
          </w:p>
        </w:tc>
        <w:tc>
          <w:tcPr>
            <w:tcW w:w="371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89491FF">
            <w:pPr>
              <w:pStyle w:val="4"/>
              <w:jc w:val="center"/>
              <w:rPr>
                <w:rFonts w:hint="default"/>
              </w:rPr>
            </w:pPr>
            <w:r>
              <w:rPr>
                <w:color w:val="000000"/>
                <w:sz w:val="21"/>
              </w:rPr>
              <w:t>——</w:t>
            </w:r>
          </w:p>
        </w:tc>
      </w:tr>
    </w:tbl>
    <w:p w14:paraId="22087AA6">
      <w:pPr>
        <w:pStyle w:val="4"/>
        <w:jc w:val="both"/>
        <w:outlineLvl w:val="2"/>
        <w:rPr>
          <w:rFonts w:hint="default"/>
        </w:rPr>
      </w:pPr>
      <w:r>
        <w:rPr>
          <w:b/>
          <w:sz w:val="21"/>
        </w:rPr>
        <w:t>2、支付方式</w:t>
      </w:r>
    </w:p>
    <w:p w14:paraId="3A55E661">
      <w:pPr>
        <w:pStyle w:val="4"/>
        <w:spacing w:before="120" w:after="180"/>
        <w:jc w:val="both"/>
        <w:outlineLvl w:val="3"/>
        <w:rPr>
          <w:rFonts w:hint="default"/>
        </w:rPr>
      </w:pPr>
      <w:r>
        <w:rPr>
          <w:b/>
          <w:sz w:val="21"/>
        </w:rPr>
        <w:t>2.1第一阶段支付方式</w:t>
      </w:r>
    </w:p>
    <w:p w14:paraId="0C73FA4C">
      <w:pPr>
        <w:pStyle w:val="4"/>
        <w:ind w:firstLine="420"/>
        <w:jc w:val="both"/>
        <w:rPr>
          <w:rFonts w:hint="default"/>
        </w:rPr>
      </w:pPr>
      <w:r>
        <w:rPr>
          <w:sz w:val="21"/>
        </w:rPr>
        <w:t>第一阶段成果包含城中村改造和专项规划及评估。合同经费由采购人分五期支付，中标人向采购人要求支付各项款项前，均应向采购人提供广州市海珠区财政局认可的合法的、等额的票据。具体支付方式和时间如下：</w:t>
      </w:r>
    </w:p>
    <w:p w14:paraId="5855EE07">
      <w:pPr>
        <w:pStyle w:val="4"/>
        <w:ind w:firstLine="420"/>
        <w:jc w:val="both"/>
        <w:rPr>
          <w:rFonts w:hint="default"/>
        </w:rPr>
      </w:pPr>
      <w:r>
        <w:rPr>
          <w:sz w:val="21"/>
        </w:rPr>
        <w:t>（1）采购人和中标人签订合同，且在采购人收到中标人请款资料及发票后的10个工作日内，采购人向中标人支付项目咨询费总额的25%。</w:t>
      </w:r>
    </w:p>
    <w:p w14:paraId="73997A20">
      <w:pPr>
        <w:pStyle w:val="4"/>
        <w:ind w:firstLine="420"/>
        <w:jc w:val="both"/>
        <w:rPr>
          <w:rFonts w:hint="default"/>
        </w:rPr>
      </w:pPr>
      <w:r>
        <w:rPr>
          <w:sz w:val="21"/>
        </w:rPr>
        <w:t>（2）中标人提交改造方案和专项规划及评估阶段成果给采购人，经区政府审议通过报市主管部门后，且在采购人收到中标人请款资料及发票后的10个工作日内，采购人向中标人支付项目咨询费总额的25%。</w:t>
      </w:r>
    </w:p>
    <w:p w14:paraId="61EF19EE">
      <w:pPr>
        <w:pStyle w:val="4"/>
        <w:ind w:firstLine="420"/>
        <w:jc w:val="both"/>
        <w:rPr>
          <w:rFonts w:hint="default"/>
        </w:rPr>
      </w:pPr>
      <w:r>
        <w:rPr>
          <w:sz w:val="21"/>
        </w:rPr>
        <w:t>（3）中标人完成改造方案和专项规划及评估修改成果，通过市主管部门审查后，且在采购人收到中标人请款资料及发票后的10个工作日内，采购人向中标人支付项目咨询费总额的20%。</w:t>
      </w:r>
    </w:p>
    <w:p w14:paraId="2CC2A67D">
      <w:pPr>
        <w:pStyle w:val="4"/>
        <w:ind w:firstLine="420"/>
        <w:jc w:val="both"/>
        <w:rPr>
          <w:rFonts w:hint="default"/>
        </w:rPr>
      </w:pPr>
      <w:r>
        <w:rPr>
          <w:sz w:val="21"/>
        </w:rPr>
        <w:t>（4）项目改造方案和专项规划及评估成果，报市城中村改造建设指挥部会议审议通过后，且在采购人收到中标人请款资料及发票后的10个工作日内，采购人向中标人支付项目咨询费总额的20%。</w:t>
      </w:r>
    </w:p>
    <w:p w14:paraId="4279D9E2">
      <w:pPr>
        <w:pStyle w:val="4"/>
        <w:ind w:firstLine="420"/>
        <w:jc w:val="both"/>
        <w:rPr>
          <w:rFonts w:hint="default"/>
        </w:rPr>
      </w:pPr>
      <w:r>
        <w:rPr>
          <w:sz w:val="21"/>
        </w:rPr>
        <w:t>（5）最终成果经市政府批复后，且在采购人收到中标人请款资料及发票后的10个工作日内，采购人向中标人支付项目咨询费总额剩余款项（10%）。</w:t>
      </w:r>
    </w:p>
    <w:p w14:paraId="57A89016">
      <w:pPr>
        <w:pStyle w:val="4"/>
        <w:spacing w:before="120" w:after="180"/>
        <w:jc w:val="both"/>
        <w:outlineLvl w:val="3"/>
        <w:rPr>
          <w:rFonts w:hint="default"/>
        </w:rPr>
      </w:pPr>
      <w:r>
        <w:rPr>
          <w:b/>
          <w:sz w:val="21"/>
        </w:rPr>
        <w:t>2.2第二阶段支付方式</w:t>
      </w:r>
    </w:p>
    <w:p w14:paraId="78AC85CA">
      <w:pPr>
        <w:pStyle w:val="4"/>
        <w:ind w:firstLine="420"/>
        <w:jc w:val="both"/>
        <w:rPr>
          <w:rFonts w:hint="default"/>
        </w:rPr>
      </w:pPr>
      <w:r>
        <w:rPr>
          <w:sz w:val="21"/>
        </w:rPr>
        <w:t>第二阶段成果包含单元详规（控规）和城市设计。合同经费由采购人分五期支付，中标人向采购人要求支付各项款项前，均应向采购人提供广州市海珠区财政局认可的合法的、等额的票据。具体支付方式和时间如下：</w:t>
      </w:r>
    </w:p>
    <w:p w14:paraId="0D958282">
      <w:pPr>
        <w:pStyle w:val="4"/>
        <w:ind w:firstLine="420"/>
        <w:jc w:val="both"/>
        <w:rPr>
          <w:rFonts w:hint="default"/>
        </w:rPr>
      </w:pPr>
      <w:r>
        <w:rPr>
          <w:sz w:val="21"/>
        </w:rPr>
        <w:t>（1）采购人和中标人签订合同，且在采购人收到中标人请款资料及发票后的10个工作日内，采购人向中标人支付项目咨询费总额的25%。</w:t>
      </w:r>
    </w:p>
    <w:p w14:paraId="3BBC6CE6">
      <w:pPr>
        <w:pStyle w:val="4"/>
        <w:ind w:firstLine="420"/>
        <w:jc w:val="both"/>
        <w:rPr>
          <w:rFonts w:hint="default"/>
        </w:rPr>
      </w:pPr>
      <w:r>
        <w:rPr>
          <w:sz w:val="21"/>
        </w:rPr>
        <w:t>（2）中标人提交单元详规（控规）和城市设计阶段成果，报区政府审议通过后，且在采购人收到中标人请款资料及发票后的10个工作日内，采购人向中标人支付项目咨询费总额的25%。</w:t>
      </w:r>
    </w:p>
    <w:p w14:paraId="46AA8BD2">
      <w:pPr>
        <w:pStyle w:val="4"/>
        <w:ind w:firstLine="420"/>
        <w:jc w:val="both"/>
        <w:rPr>
          <w:rFonts w:hint="default"/>
        </w:rPr>
      </w:pPr>
      <w:r>
        <w:rPr>
          <w:sz w:val="21"/>
        </w:rPr>
        <w:t>（3）中标人完成单元详规（控规）修改方案，报市规划资源局审议通过后，且在采购人收到中标人请款资料及发票后的10个工作日内，采购人向中标人支付项目咨询费总额的20%。</w:t>
      </w:r>
    </w:p>
    <w:p w14:paraId="17C2D015">
      <w:pPr>
        <w:pStyle w:val="4"/>
        <w:ind w:firstLine="420"/>
        <w:jc w:val="both"/>
        <w:rPr>
          <w:rFonts w:hint="default"/>
        </w:rPr>
      </w:pPr>
      <w:r>
        <w:rPr>
          <w:sz w:val="21"/>
        </w:rPr>
        <w:t>（4）项目单元详规（控规）方案上报市规委审议通过后，且在采购人收到中标人请款资料及发票后的10个工作日内，采购人向中标人支付项目咨询费总额的20%。</w:t>
      </w:r>
    </w:p>
    <w:p w14:paraId="27B57279">
      <w:pPr>
        <w:pStyle w:val="4"/>
        <w:ind w:firstLine="420"/>
        <w:jc w:val="both"/>
        <w:rPr>
          <w:rFonts w:hint="default"/>
        </w:rPr>
      </w:pPr>
      <w:r>
        <w:rPr>
          <w:sz w:val="21"/>
        </w:rPr>
        <w:t>（5）最终成果经市政府批复后，且在采购人收到中标人请款资料及发票后的10个工作日内，采购人向中标人支付项目咨询费总额剩余款项（10%）。</w:t>
      </w:r>
    </w:p>
    <w:p w14:paraId="76F55250">
      <w:pPr>
        <w:pStyle w:val="4"/>
        <w:spacing w:before="255" w:after="255"/>
        <w:outlineLvl w:val="1"/>
        <w:rPr>
          <w:rFonts w:hint="default"/>
        </w:rPr>
      </w:pPr>
      <w:r>
        <w:rPr>
          <w:b/>
          <w:sz w:val="21"/>
        </w:rPr>
        <w:t>四、其他要求</w:t>
      </w:r>
    </w:p>
    <w:p w14:paraId="3C63B668">
      <w:pPr>
        <w:pStyle w:val="4"/>
        <w:jc w:val="both"/>
        <w:outlineLvl w:val="2"/>
        <w:rPr>
          <w:rFonts w:hint="default"/>
        </w:rPr>
      </w:pPr>
      <w:r>
        <w:rPr>
          <w:b/>
          <w:sz w:val="21"/>
        </w:rPr>
        <w:t>1、投标人基本要求</w:t>
      </w:r>
    </w:p>
    <w:p w14:paraId="58598A9F">
      <w:pPr>
        <w:pStyle w:val="4"/>
        <w:jc w:val="both"/>
        <w:outlineLvl w:val="2"/>
        <w:rPr>
          <w:rFonts w:hint="default"/>
        </w:rPr>
      </w:pPr>
      <w:r>
        <w:rPr>
          <w:b/>
          <w:sz w:val="21"/>
        </w:rPr>
        <w:t>（1）应按项目需要配备具有正高级（教授级高级）工程师职称和注册城市（乡）规划师资格的专业技术人员，配合招标人制作与项目相关的会议汇报文件、会议材料等，并提供相应后续技术服务。服务团队需要配置包含规划、建筑、风景园林、市政、国土等相关专业技术人员，开展技术服务。</w:t>
      </w:r>
    </w:p>
    <w:p w14:paraId="7E27E39A">
      <w:pPr>
        <w:pStyle w:val="4"/>
        <w:jc w:val="both"/>
        <w:outlineLvl w:val="2"/>
        <w:rPr>
          <w:rFonts w:hint="default"/>
        </w:rPr>
      </w:pPr>
      <w:r>
        <w:rPr>
          <w:b/>
          <w:sz w:val="21"/>
        </w:rPr>
        <w:t>（2）项目必须设置专门的技术负责人。项目负责人应熟悉相关规划情况及城市更新、城市规划情况，并有类似项目经验，需具备相应职称和专业能力并获得类似项目的奖项等。</w:t>
      </w:r>
    </w:p>
    <w:p w14:paraId="5B539616">
      <w:pPr>
        <w:pStyle w:val="4"/>
        <w:jc w:val="both"/>
        <w:outlineLvl w:val="2"/>
        <w:rPr>
          <w:rFonts w:hint="default"/>
        </w:rPr>
      </w:pPr>
      <w:r>
        <w:rPr>
          <w:b/>
          <w:sz w:val="21"/>
        </w:rPr>
        <w:t>（3）投标人需熟悉和理解项目工作背景、片区发展趋势、项目目标、工作范围的规划资料，能够提供针对本项目制定的技术路线、工作思路方案，能够提供包括控规优化、城市设计、专题研究及专项评估所涉及的规划技术工作内容，能够提供针对本项目制定的工作服务承诺与质量保证措施及后续技术服务，能够提供针对本项目制定的实施工作时间与进度计划，能够根据采购需求列举本项目的重难点，并提出相应的解决措施。</w:t>
      </w:r>
    </w:p>
    <w:p w14:paraId="30B1AFAC">
      <w:pPr>
        <w:pStyle w:val="4"/>
        <w:jc w:val="both"/>
        <w:outlineLvl w:val="2"/>
        <w:rPr>
          <w:rFonts w:hint="default"/>
        </w:rPr>
      </w:pPr>
      <w:r>
        <w:rPr>
          <w:b/>
          <w:sz w:val="21"/>
        </w:rPr>
        <w:t>（4）投标人需具备在有效期内的质量管理体系认证、环境管理体系认证、职业健康安全管理体系认证。</w:t>
      </w:r>
    </w:p>
    <w:p w14:paraId="2BAD1F9E">
      <w:pPr>
        <w:pStyle w:val="4"/>
        <w:jc w:val="both"/>
        <w:outlineLvl w:val="2"/>
        <w:rPr>
          <w:rFonts w:hint="default"/>
        </w:rPr>
      </w:pPr>
      <w:r>
        <w:rPr>
          <w:b/>
          <w:sz w:val="21"/>
        </w:rPr>
        <w:t>（5）招标人委派工作任务时，中标人需在1个工作日内做出响应。</w:t>
      </w:r>
    </w:p>
    <w:p w14:paraId="2BA2CAD7">
      <w:pPr>
        <w:pStyle w:val="4"/>
        <w:jc w:val="both"/>
        <w:outlineLvl w:val="2"/>
        <w:rPr>
          <w:rFonts w:hint="default"/>
        </w:rPr>
      </w:pPr>
      <w:r>
        <w:rPr>
          <w:b/>
          <w:sz w:val="21"/>
        </w:rPr>
        <w:t>★（6）投标人具有城乡规划编制乙级或以上资质（若为联合体投标，指承担编制城市设计、规划编制的成员单位，须在投标文件中提供资质证书扫描件）。</w:t>
      </w:r>
    </w:p>
    <w:p w14:paraId="1F4C56CD">
      <w:pPr>
        <w:pStyle w:val="4"/>
        <w:jc w:val="both"/>
        <w:outlineLvl w:val="2"/>
        <w:rPr>
          <w:rFonts w:hint="default"/>
        </w:rPr>
      </w:pPr>
      <w:r>
        <w:rPr>
          <w:b/>
          <w:sz w:val="21"/>
        </w:rPr>
        <w:t>2、项目管理要求</w:t>
      </w:r>
    </w:p>
    <w:p w14:paraId="4EAAAEE5">
      <w:pPr>
        <w:pStyle w:val="4"/>
        <w:ind w:firstLine="420"/>
        <w:jc w:val="both"/>
        <w:rPr>
          <w:rFonts w:hint="default"/>
        </w:rPr>
      </w:pPr>
      <w:r>
        <w:rPr>
          <w:sz w:val="21"/>
        </w:rPr>
        <w:t>中标人必须在招标人要求的时间进度内完成本招标项目所有工作内容及相关服务，并依据要求编制项目执行计划；中标人必须根据本项目招标要求提供完整的服务，并有针对性地进行详细描述；中标人必须全力配合相关项目的要求，保障工作顺利推进。</w:t>
      </w:r>
    </w:p>
    <w:p w14:paraId="0504586B">
      <w:pPr>
        <w:pStyle w:val="4"/>
        <w:jc w:val="both"/>
        <w:outlineLvl w:val="2"/>
        <w:rPr>
          <w:rFonts w:hint="default"/>
        </w:rPr>
      </w:pPr>
      <w:r>
        <w:rPr>
          <w:b/>
          <w:sz w:val="21"/>
        </w:rPr>
        <w:t>3、质量要求</w:t>
      </w:r>
    </w:p>
    <w:p w14:paraId="12C0B074">
      <w:pPr>
        <w:pStyle w:val="4"/>
        <w:ind w:firstLine="420"/>
        <w:jc w:val="both"/>
        <w:rPr>
          <w:rFonts w:hint="default"/>
        </w:rPr>
      </w:pPr>
      <w:r>
        <w:rPr>
          <w:sz w:val="21"/>
        </w:rPr>
        <w:t>中标人提交的成果资料应符合有关法律、法规、标准、规范的要求，并保证工作成果满足行政审批部门的要求，中标人提供的成果质量不合格，将无偿负责规划调整或采取补救措施，以达到质量要求；对于成果的质量问题和招标人临时提出的其它合理技术要求，中标人应按时进行修改或生产；成果交付后，在其正常使用时，出现任何由中标人造成的重大质量问题，中标人应承担由此引发的相关责任后果，妥善处理好各项善后事宜。</w:t>
      </w:r>
    </w:p>
    <w:p w14:paraId="053E12BC">
      <w:pPr>
        <w:pStyle w:val="4"/>
        <w:jc w:val="both"/>
        <w:outlineLvl w:val="2"/>
        <w:rPr>
          <w:rFonts w:hint="default"/>
        </w:rPr>
      </w:pPr>
      <w:r>
        <w:rPr>
          <w:b/>
          <w:sz w:val="21"/>
        </w:rPr>
        <w:t>4、服务要求</w:t>
      </w:r>
    </w:p>
    <w:p w14:paraId="39615970">
      <w:pPr>
        <w:pStyle w:val="4"/>
        <w:ind w:firstLine="420"/>
        <w:jc w:val="both"/>
        <w:rPr>
          <w:rFonts w:hint="default"/>
        </w:rPr>
      </w:pPr>
      <w:r>
        <w:rPr>
          <w:sz w:val="21"/>
        </w:rPr>
        <w:t>必须根据本项目招标要求提供完整的服务，并有针对性地进行详细描述。</w:t>
      </w:r>
    </w:p>
    <w:p w14:paraId="66B0FECB">
      <w:pPr>
        <w:pStyle w:val="4"/>
        <w:jc w:val="both"/>
        <w:outlineLvl w:val="2"/>
        <w:rPr>
          <w:rFonts w:hint="default"/>
        </w:rPr>
      </w:pPr>
      <w:r>
        <w:rPr>
          <w:b/>
          <w:sz w:val="21"/>
        </w:rPr>
        <w:t>5、保密要求</w:t>
      </w:r>
    </w:p>
    <w:p w14:paraId="2F2B9B2C">
      <w:pPr>
        <w:pStyle w:val="4"/>
        <w:ind w:firstLine="420"/>
        <w:jc w:val="both"/>
        <w:rPr>
          <w:rFonts w:hint="default"/>
        </w:rPr>
      </w:pPr>
      <w:r>
        <w:rPr>
          <w:sz w:val="21"/>
        </w:rPr>
        <w:t>必须对本项目的背景材料、相关技术资料和成果等一切有关信息承担保密责任。本项目涉及的保密条款并不因本项目合同的终止就失效，该条款对各方依旧有法律约束力。</w:t>
      </w:r>
    </w:p>
    <w:p w14:paraId="36ECB044">
      <w:pPr>
        <w:pStyle w:val="4"/>
        <w:ind w:firstLine="480"/>
        <w:rPr>
          <w:rFonts w:hint="default"/>
        </w:rPr>
      </w:pPr>
      <w:r>
        <w:rPr>
          <w:b/>
          <w:sz w:val="21"/>
        </w:rPr>
        <w:t>6、重点难点分析要求</w:t>
      </w:r>
    </w:p>
    <w:p w14:paraId="3132ECE8">
      <w:pPr>
        <w:pStyle w:val="4"/>
        <w:ind w:firstLine="420"/>
        <w:jc w:val="both"/>
        <w:rPr>
          <w:rFonts w:hint="default"/>
        </w:rPr>
      </w:pPr>
      <w:r>
        <w:rPr>
          <w:sz w:val="21"/>
        </w:rPr>
        <w:t>由于本项目具有复杂性和专业性，投标人需要提供对本项目重点难点有充分的了解和分析，对于各个工作节点均有审慎的认识与应对方案，以保障本项目的实施。</w:t>
      </w:r>
    </w:p>
    <w:p w14:paraId="09B74FB5">
      <w:pPr>
        <w:pStyle w:val="4"/>
        <w:ind w:firstLine="480"/>
        <w:rPr>
          <w:rFonts w:hint="default"/>
        </w:rPr>
      </w:pPr>
      <w:r>
        <w:rPr>
          <w:b/>
          <w:sz w:val="21"/>
        </w:rPr>
        <w:t>7、项目技术路线、总体工作思路分析要求</w:t>
      </w:r>
    </w:p>
    <w:p w14:paraId="553E2658">
      <w:r>
        <w:rPr>
          <w:sz w:val="21"/>
        </w:rPr>
        <w:t>投标人须提供项目技术路线、总体工作思路，包括但不限于采取的技术手段、具体步骤、解决关键性问题的方法等。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E6548"/>
    <w:rsid w:val="31C854D0"/>
    <w:rsid w:val="6F83507F"/>
    <w:rsid w:val="790E6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2025-11-04T06:22:00Z</dcterms:created>
  <dc:creator>蛋饼</dc:creator>
  <cp:lastModifiedBy>蛋饼</cp:lastModifiedBy>
  <dcterms:modified xsi:type="dcterms:W3CDTF">2025-11-04T06:26:55Z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31664BDE42B945D48220E8EFC55A2AFA_11</vt:lpwstr>
  </property>
  <property fmtid="{D5CDD505-2E9C-101B-9397-08002B2CF9AE}" pid="4" name="KSOTemplateDocerSaveRecord">
    <vt:lpwstr>eyJoZGlkIjoiMTkxNzkxMTA2YWNhNTliNGJmN2YwZWExYzJlMmI1ZjkiLCJ1c2VySWQiOiI5MzE0NzgzMDMifQ==</vt:lpwstr>
  </property>
</Properties>
</file>