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562E8">
      <w:pPr>
        <w:pStyle w:val="5"/>
        <w:jc w:val="center"/>
        <w:rPr>
          <w:rFonts w:hint="eastAsia"/>
          <w:b/>
          <w:sz w:val="28"/>
        </w:rPr>
      </w:pPr>
      <w:bookmarkStart w:id="0" w:name="_Hlk179388176"/>
      <w:r>
        <w:rPr>
          <w:rFonts w:hint="eastAsia"/>
          <w:b/>
          <w:sz w:val="28"/>
        </w:rPr>
        <w:t>海珠区东风村城中村改造项目征收补偿测绘服务</w:t>
      </w:r>
      <w:bookmarkEnd w:id="0"/>
      <w:r>
        <w:rPr>
          <w:rFonts w:hint="eastAsia"/>
          <w:b/>
          <w:sz w:val="28"/>
        </w:rPr>
        <w:t>项目需求书</w:t>
      </w:r>
    </w:p>
    <w:p w14:paraId="127B1F49">
      <w:pPr>
        <w:pStyle w:val="5"/>
        <w:rPr>
          <w:rFonts w:hint="default"/>
        </w:rPr>
      </w:pPr>
      <w:r>
        <w:rPr>
          <w:b/>
          <w:sz w:val="28"/>
        </w:rPr>
        <w:t>一、项目概况：</w:t>
      </w:r>
    </w:p>
    <w:p w14:paraId="55326C2A">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1.项目背景</w:t>
      </w:r>
    </w:p>
    <w:p w14:paraId="0A6C7CF9">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rPr>
        <w:t>2023年7月21日，国务院常务会议审议通过《关于在超大特大城市积极稳步推进城中村改造的指导意见》，指出在超大特大城市积极稳步实施城中村改造是改善民生、扩大内需、推动城市高质量发展的一项重要举措。会议指出，要坚持城市人民政府负主体责任，加强组织实施，科学编制改造规划计划，多渠道筹措改造资金，高效综合利用土地资源，统筹处理各方面利益诉求，并把城中村改造与保障性住房建设进行结合。为积极稳步推进城中村改造，我市出台《广州市关于积极稳步推进城中村改造推动高质量发展的行动计划》，明确要按照“一年开局，三年攻坚，五年见效”的思路，计划用五年时间，分类分步推进我市城中村改造。</w:t>
      </w:r>
    </w:p>
    <w:p w14:paraId="7F031DA4">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rPr>
        <w:t>当前，锚定“支撑海珠高质量发展”目标，海珠区正在系统谋划实施城市更新行动，大力推进广州新中轴海珠片区更新改造提升工作，打造宜居、韧性、智慧城市。根据市区政府工作安排，需加快完</w:t>
      </w:r>
      <w:r>
        <w:rPr>
          <w:rFonts w:hint="eastAsia" w:ascii="宋体" w:hAnsi="宋体" w:eastAsia="宋体" w:cs="宋体"/>
          <w:sz w:val="20"/>
          <w:szCs w:val="20"/>
          <w:lang w:val="en-US" w:eastAsia="zh-CN"/>
        </w:rPr>
        <w:t>成东风</w:t>
      </w:r>
      <w:r>
        <w:rPr>
          <w:rFonts w:hint="eastAsia" w:ascii="宋体" w:hAnsi="宋体" w:eastAsia="宋体" w:cs="宋体"/>
          <w:sz w:val="20"/>
          <w:szCs w:val="20"/>
        </w:rPr>
        <w:t>村范围内所有国有、集体、私宅建（构）筑物的清点测绘，为项目征收补偿提供经济测算基础依据。</w:t>
      </w:r>
    </w:p>
    <w:p w14:paraId="35951DD5">
      <w:pPr>
        <w:spacing w:line="360" w:lineRule="auto"/>
        <w:ind w:firstLine="400" w:firstLineChars="200"/>
        <w:rPr>
          <w:rFonts w:hint="eastAsia" w:ascii="宋体" w:hAnsi="宋体" w:eastAsia="宋体" w:cs="宋体"/>
          <w:b w:val="0"/>
          <w:sz w:val="20"/>
          <w:szCs w:val="20"/>
        </w:rPr>
      </w:pPr>
      <w:r>
        <w:rPr>
          <w:rFonts w:hint="eastAsia" w:ascii="宋体" w:hAnsi="宋体" w:eastAsia="宋体" w:cs="宋体"/>
          <w:b w:val="0"/>
          <w:sz w:val="20"/>
          <w:szCs w:val="20"/>
        </w:rPr>
        <w:t>2.费用总预算：人民币（¥12</w:t>
      </w:r>
      <w:r>
        <w:rPr>
          <w:rFonts w:hint="eastAsia" w:ascii="宋体" w:hAnsi="宋体" w:eastAsia="宋体" w:cs="宋体"/>
          <w:b w:val="0"/>
          <w:sz w:val="20"/>
          <w:szCs w:val="20"/>
          <w:lang w:val="en-US" w:eastAsia="zh-CN"/>
        </w:rPr>
        <w:t>,</w:t>
      </w:r>
      <w:r>
        <w:rPr>
          <w:rFonts w:hint="eastAsia" w:ascii="宋体" w:hAnsi="宋体" w:eastAsia="宋体" w:cs="宋体"/>
          <w:b w:val="0"/>
          <w:sz w:val="20"/>
          <w:szCs w:val="20"/>
        </w:rPr>
        <w:t>060</w:t>
      </w:r>
      <w:r>
        <w:rPr>
          <w:rFonts w:hint="eastAsia" w:ascii="宋体" w:hAnsi="宋体" w:eastAsia="宋体" w:cs="宋体"/>
          <w:b w:val="0"/>
          <w:sz w:val="20"/>
          <w:szCs w:val="20"/>
          <w:lang w:val="en-US" w:eastAsia="zh-CN"/>
        </w:rPr>
        <w:t>,</w:t>
      </w:r>
      <w:r>
        <w:rPr>
          <w:rFonts w:hint="eastAsia" w:ascii="宋体" w:hAnsi="宋体" w:eastAsia="宋体" w:cs="宋体"/>
          <w:b w:val="0"/>
          <w:sz w:val="20"/>
          <w:szCs w:val="20"/>
        </w:rPr>
        <w:t>934.6</w:t>
      </w:r>
      <w:r>
        <w:rPr>
          <w:rFonts w:hint="eastAsia" w:ascii="宋体" w:hAnsi="宋体" w:eastAsia="宋体" w:cs="宋体"/>
          <w:b w:val="0"/>
          <w:sz w:val="20"/>
          <w:szCs w:val="20"/>
          <w:lang w:val="en-US" w:eastAsia="zh-CN"/>
        </w:rPr>
        <w:t>0</w:t>
      </w:r>
      <w:r>
        <w:rPr>
          <w:rFonts w:hint="eastAsia" w:ascii="宋体" w:hAnsi="宋体" w:eastAsia="宋体" w:cs="宋体"/>
          <w:b w:val="0"/>
          <w:sz w:val="20"/>
          <w:szCs w:val="20"/>
        </w:rPr>
        <w:t>）</w:t>
      </w:r>
    </w:p>
    <w:p w14:paraId="34A63498">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3.工作范围</w:t>
      </w:r>
    </w:p>
    <w:p w14:paraId="4D523B51">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lang w:eastAsia="zh-CN"/>
        </w:rPr>
        <w:t>海珠区东风村城中村改造项目</w:t>
      </w:r>
      <w:r>
        <w:rPr>
          <w:rFonts w:hint="eastAsia" w:ascii="宋体" w:hAnsi="宋体" w:eastAsia="宋体" w:cs="宋体"/>
          <w:sz w:val="20"/>
          <w:szCs w:val="20"/>
        </w:rPr>
        <w:t>改造范围面积共约</w:t>
      </w:r>
      <w:r>
        <w:rPr>
          <w:rFonts w:hint="eastAsia" w:ascii="宋体" w:hAnsi="宋体" w:eastAsia="宋体" w:cs="宋体"/>
          <w:sz w:val="20"/>
          <w:szCs w:val="20"/>
          <w:lang w:eastAsia="zh-CN"/>
        </w:rPr>
        <w:t>100.66</w:t>
      </w:r>
      <w:r>
        <w:rPr>
          <w:rFonts w:hint="eastAsia" w:ascii="宋体" w:hAnsi="宋体" w:eastAsia="宋体" w:cs="宋体"/>
          <w:sz w:val="20"/>
          <w:szCs w:val="20"/>
        </w:rPr>
        <w:t>公顷（以最终实际面积为准）</w:t>
      </w:r>
      <w:r>
        <w:rPr>
          <w:rFonts w:hint="eastAsia" w:ascii="宋体" w:hAnsi="宋体" w:eastAsia="宋体" w:cs="宋体"/>
          <w:sz w:val="20"/>
          <w:szCs w:val="20"/>
          <w:lang w:eastAsia="zh-CN"/>
        </w:rPr>
        <w:t>，项目</w:t>
      </w:r>
      <w:r>
        <w:rPr>
          <w:rFonts w:hint="eastAsia" w:ascii="宋体" w:hAnsi="宋体" w:eastAsia="宋体" w:cs="宋体"/>
          <w:sz w:val="20"/>
          <w:szCs w:val="20"/>
          <w:lang w:val="en-US" w:eastAsia="zh-CN"/>
        </w:rPr>
        <w:t>分布新滘路两侧，</w:t>
      </w:r>
      <w:r>
        <w:rPr>
          <w:rFonts w:hint="eastAsia" w:ascii="宋体" w:hAnsi="宋体" w:eastAsia="宋体" w:cs="宋体"/>
          <w:sz w:val="20"/>
          <w:szCs w:val="20"/>
          <w:lang w:eastAsia="zh-CN"/>
        </w:rPr>
        <w:t>西至上涌</w:t>
      </w:r>
      <w:r>
        <w:rPr>
          <w:rFonts w:hint="eastAsia" w:ascii="宋体" w:hAnsi="宋体" w:eastAsia="宋体" w:cs="宋体"/>
          <w:sz w:val="20"/>
          <w:szCs w:val="20"/>
          <w:lang w:val="en-US" w:eastAsia="zh-CN"/>
        </w:rPr>
        <w:t>公园</w:t>
      </w:r>
      <w:r>
        <w:rPr>
          <w:rFonts w:hint="eastAsia" w:ascii="宋体" w:hAnsi="宋体" w:eastAsia="宋体" w:cs="宋体"/>
          <w:sz w:val="20"/>
          <w:szCs w:val="20"/>
          <w:lang w:eastAsia="zh-CN"/>
        </w:rPr>
        <w:t>，南至南洲北路，北至</w:t>
      </w:r>
      <w:r>
        <w:rPr>
          <w:rFonts w:hint="eastAsia" w:ascii="宋体" w:hAnsi="宋体" w:eastAsia="宋体" w:cs="宋体"/>
          <w:sz w:val="20"/>
          <w:szCs w:val="20"/>
          <w:lang w:val="en-US" w:eastAsia="zh-CN"/>
        </w:rPr>
        <w:t>海珠区政府</w:t>
      </w:r>
      <w:r>
        <w:rPr>
          <w:rFonts w:hint="eastAsia" w:ascii="宋体" w:hAnsi="宋体" w:eastAsia="宋体" w:cs="宋体"/>
          <w:sz w:val="20"/>
          <w:szCs w:val="20"/>
          <w:lang w:eastAsia="zh-CN"/>
        </w:rPr>
        <w:t>，东至</w:t>
      </w:r>
      <w:r>
        <w:rPr>
          <w:rFonts w:hint="eastAsia" w:ascii="宋体" w:hAnsi="宋体" w:eastAsia="宋体" w:cs="宋体"/>
          <w:sz w:val="20"/>
          <w:szCs w:val="20"/>
          <w:lang w:val="en-US" w:eastAsia="zh-CN"/>
        </w:rPr>
        <w:t>聚德路</w:t>
      </w:r>
      <w:r>
        <w:rPr>
          <w:rFonts w:hint="eastAsia" w:ascii="宋体" w:hAnsi="宋体" w:eastAsia="宋体" w:cs="宋体"/>
          <w:sz w:val="20"/>
          <w:szCs w:val="20"/>
        </w:rPr>
        <w:t>。</w:t>
      </w:r>
    </w:p>
    <w:p w14:paraId="15DDD83D">
      <w:pPr>
        <w:spacing w:line="360" w:lineRule="auto"/>
        <w:ind w:firstLine="0" w:firstLineChars="0"/>
        <w:jc w:val="both"/>
        <w:rPr>
          <w:rFonts w:hint="eastAsia" w:ascii="宋体" w:hAnsi="宋体" w:eastAsia="宋体" w:cs="宋体"/>
          <w:sz w:val="20"/>
          <w:szCs w:val="20"/>
          <w:lang w:eastAsia="zh-CN"/>
        </w:rPr>
      </w:pPr>
      <w:r>
        <w:rPr>
          <w:rFonts w:hint="eastAsia" w:ascii="宋体" w:hAnsi="宋体" w:eastAsia="宋体" w:cs="宋体"/>
          <w:sz w:val="20"/>
          <w:szCs w:val="20"/>
          <w:lang w:eastAsia="zh-CN"/>
        </w:rPr>
        <w:drawing>
          <wp:inline distT="0" distB="0" distL="114300" distR="114300">
            <wp:extent cx="5273040" cy="3728085"/>
            <wp:effectExtent l="0" t="0" r="3810" b="5715"/>
            <wp:docPr id="3" name="图片 3" descr="海珠区东风村城中村改造项目征收测绘工作范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珠区东风村城中村改造项目征收测绘工作范围"/>
                    <pic:cNvPicPr>
                      <a:picLocks noChangeAspect="1"/>
                    </pic:cNvPicPr>
                  </pic:nvPicPr>
                  <pic:blipFill>
                    <a:blip r:embed="rId4"/>
                    <a:stretch>
                      <a:fillRect/>
                    </a:stretch>
                  </pic:blipFill>
                  <pic:spPr>
                    <a:xfrm>
                      <a:off x="0" y="0"/>
                      <a:ext cx="5273040" cy="3728085"/>
                    </a:xfrm>
                    <a:prstGeom prst="rect">
                      <a:avLst/>
                    </a:prstGeom>
                  </pic:spPr>
                </pic:pic>
              </a:graphicData>
            </a:graphic>
          </wp:inline>
        </w:drawing>
      </w:r>
    </w:p>
    <w:p w14:paraId="20CCF719">
      <w:pPr>
        <w:spacing w:line="360" w:lineRule="auto"/>
        <w:ind w:firstLine="0" w:firstLineChars="0"/>
        <w:jc w:val="center"/>
        <w:rPr>
          <w:rFonts w:hint="eastAsia" w:ascii="宋体" w:hAnsi="宋体" w:eastAsia="宋体" w:cs="宋体"/>
          <w:sz w:val="20"/>
          <w:szCs w:val="20"/>
        </w:rPr>
      </w:pPr>
      <w:r>
        <w:rPr>
          <w:rFonts w:hint="eastAsia" w:ascii="宋体" w:hAnsi="宋体" w:eastAsia="宋体" w:cs="宋体"/>
          <w:sz w:val="20"/>
          <w:szCs w:val="20"/>
        </w:rPr>
        <w:t>图</w:t>
      </w:r>
      <w:r>
        <w:rPr>
          <w:rFonts w:hint="eastAsia" w:ascii="宋体" w:hAnsi="宋体" w:eastAsia="宋体" w:cs="宋体"/>
          <w:sz w:val="20"/>
          <w:szCs w:val="20"/>
          <w:lang w:eastAsia="zh-CN"/>
        </w:rPr>
        <w:t xml:space="preserve">1 </w:t>
      </w:r>
      <w:r>
        <w:rPr>
          <w:rFonts w:hint="eastAsia" w:ascii="宋体" w:hAnsi="宋体" w:eastAsia="宋体" w:cs="宋体"/>
          <w:sz w:val="20"/>
          <w:szCs w:val="20"/>
        </w:rPr>
        <w:t>征收</w:t>
      </w:r>
      <w:r>
        <w:rPr>
          <w:rFonts w:hint="eastAsia" w:ascii="宋体" w:hAnsi="宋体" w:eastAsia="宋体" w:cs="宋体"/>
          <w:sz w:val="20"/>
          <w:szCs w:val="20"/>
          <w:lang w:val="en-US" w:eastAsia="zh-CN"/>
        </w:rPr>
        <w:t>测量</w:t>
      </w:r>
      <w:r>
        <w:rPr>
          <w:rFonts w:hint="eastAsia" w:ascii="宋体" w:hAnsi="宋体" w:eastAsia="宋体" w:cs="宋体"/>
          <w:sz w:val="20"/>
          <w:szCs w:val="20"/>
        </w:rPr>
        <w:t>工作范围示意图</w:t>
      </w:r>
    </w:p>
    <w:p w14:paraId="73AEA110">
      <w:pPr>
        <w:spacing w:line="360" w:lineRule="auto"/>
        <w:ind w:firstLine="0" w:firstLineChars="0"/>
        <w:jc w:val="both"/>
        <w:rPr>
          <w:rFonts w:hint="eastAsia" w:ascii="宋体" w:hAnsi="宋体" w:eastAsia="宋体" w:cs="宋体"/>
          <w:b/>
          <w:bCs/>
          <w:sz w:val="20"/>
          <w:szCs w:val="20"/>
        </w:rPr>
      </w:pPr>
      <w:r>
        <w:rPr>
          <w:rFonts w:hint="eastAsia" w:ascii="宋体" w:hAnsi="宋体" w:eastAsia="宋体" w:cs="宋体"/>
          <w:b/>
          <w:bCs/>
          <w:sz w:val="20"/>
          <w:szCs w:val="20"/>
        </w:rPr>
        <w:t>二、工作内容及要求</w:t>
      </w:r>
    </w:p>
    <w:p w14:paraId="48436EA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w:t>
      </w:r>
      <w:r>
        <w:rPr>
          <w:rFonts w:hint="eastAsia" w:ascii="宋体" w:hAnsi="宋体" w:eastAsia="宋体" w:cs="宋体"/>
          <w:sz w:val="20"/>
          <w:szCs w:val="20"/>
        </w:rPr>
        <w:t>工作内容</w:t>
      </w:r>
    </w:p>
    <w:p w14:paraId="334E65C6">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rPr>
        <w:t>（1）改造范围征收测量。根据建设时序，对征收测量工作范围开展房屋拆迁测量，构筑物、附着物、青苗清点详查测量，编制测量成果报告。该工作成果主要为土地征收拆迁提供基础数据，支撑补偿安置协议签订。工作内容分为：</w:t>
      </w:r>
    </w:p>
    <w:p w14:paraId="21FD33D8">
      <w:pPr>
        <w:spacing w:line="360" w:lineRule="auto"/>
        <w:ind w:firstLineChars="200"/>
        <w:rPr>
          <w:rFonts w:hint="eastAsia" w:ascii="宋体" w:hAnsi="宋体" w:eastAsia="宋体" w:cs="宋体"/>
          <w:sz w:val="20"/>
          <w:szCs w:val="20"/>
          <w:lang w:eastAsia="zh-CN"/>
        </w:rPr>
      </w:pPr>
      <w:r>
        <w:rPr>
          <w:rFonts w:hint="eastAsia" w:ascii="宋体" w:hAnsi="宋体" w:eastAsia="宋体" w:cs="宋体"/>
          <w:sz w:val="20"/>
          <w:szCs w:val="20"/>
        </w:rPr>
        <w:t>1）征地拆迁详查测量（建筑物面积详查测量）：通过户外测量和入户测量实地测量并计算出指定范围内的建筑物面积，以获得建筑物的基础数据（包括建筑物结构、层数、建基面积、建筑面积等），为征收拆迁补偿费用估算提供基础数据</w:t>
      </w:r>
      <w:r>
        <w:rPr>
          <w:rFonts w:hint="eastAsia" w:ascii="宋体" w:hAnsi="宋体" w:eastAsia="宋体" w:cs="宋体"/>
          <w:sz w:val="20"/>
          <w:szCs w:val="20"/>
          <w:lang w:eastAsia="zh-CN"/>
        </w:rPr>
        <w:t>。</w:t>
      </w:r>
    </w:p>
    <w:p w14:paraId="1CE65320">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lang w:eastAsia="zh-CN"/>
        </w:rPr>
        <w:t>2</w:t>
      </w:r>
      <w:r>
        <w:rPr>
          <w:rFonts w:hint="eastAsia" w:ascii="宋体" w:hAnsi="宋体" w:eastAsia="宋体" w:cs="宋体"/>
          <w:sz w:val="20"/>
          <w:szCs w:val="20"/>
        </w:rPr>
        <w:t>）征地拆迁详查测量（附着物和构筑物等清点详查）：对指定地块（规划红线，用地红线、征收补偿范围等）的附着物和构筑物等进行清点详查，分面状详查和点状详查，必要时协助权属单位对权属界址进行测量放桩，以获得附着物、构筑物等的基础数据，作为征收拆迁补偿费用估算的依据之一。</w:t>
      </w:r>
    </w:p>
    <w:p w14:paraId="1E34AE2A">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办理期限：15个工作日。注：涉及到项目测量面积较大、委托方或相关部门提供的资料质量、政策及恶劣天气等因素时，工作办理时限由</w:t>
      </w:r>
      <w:r>
        <w:rPr>
          <w:rFonts w:hint="eastAsia" w:eastAsia="宋体"/>
          <w:sz w:val="21"/>
          <w:lang w:val="en-US" w:eastAsia="zh-CN"/>
        </w:rPr>
        <w:t>采购人</w:t>
      </w:r>
      <w:r>
        <w:rPr>
          <w:sz w:val="21"/>
        </w:rPr>
        <w:t>与</w:t>
      </w:r>
      <w:r>
        <w:rPr>
          <w:rFonts w:hint="eastAsia"/>
          <w:sz w:val="21"/>
          <w:lang w:val="en-US" w:eastAsia="zh-CN"/>
        </w:rPr>
        <w:t>中标人</w:t>
      </w:r>
      <w:r>
        <w:rPr>
          <w:rFonts w:hint="eastAsia" w:ascii="宋体" w:hAnsi="宋体" w:eastAsia="宋体" w:cs="宋体"/>
          <w:sz w:val="20"/>
          <w:szCs w:val="20"/>
        </w:rPr>
        <w:t>协商确定。</w:t>
      </w:r>
    </w:p>
    <w:p w14:paraId="660A34BB">
      <w:pPr>
        <w:spacing w:line="360" w:lineRule="auto"/>
        <w:ind w:firstLineChars="200"/>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rPr>
        <w:t>成果要求：</w:t>
      </w:r>
    </w:p>
    <w:p w14:paraId="208A4C01">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rPr>
        <w:t>①地上建筑物面积汇总表；</w:t>
      </w:r>
    </w:p>
    <w:p w14:paraId="6865B2D4">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rPr>
        <w:t>②房屋详查资料明细表；</w:t>
      </w:r>
    </w:p>
    <w:p w14:paraId="64B4B8D3">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rPr>
        <w:t>③房屋现状面积图表；</w:t>
      </w:r>
    </w:p>
    <w:p w14:paraId="010AC07D">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rPr>
        <w:t>④建构筑物及附着物相关照片（含青苗）；</w:t>
      </w:r>
    </w:p>
    <w:p w14:paraId="14872346">
      <w:pPr>
        <w:spacing w:line="360" w:lineRule="auto"/>
        <w:ind w:firstLineChars="200"/>
        <w:rPr>
          <w:rFonts w:hint="eastAsia" w:ascii="宋体" w:hAnsi="宋体" w:eastAsia="宋体" w:cs="宋体"/>
          <w:sz w:val="20"/>
          <w:szCs w:val="20"/>
          <w:lang w:eastAsia="zh-CN"/>
        </w:rPr>
      </w:pPr>
      <w:r>
        <w:rPr>
          <w:rFonts w:hint="eastAsia" w:ascii="宋体" w:hAnsi="宋体" w:eastAsia="宋体" w:cs="宋体"/>
          <w:sz w:val="20"/>
          <w:szCs w:val="20"/>
        </w:rPr>
        <w:t>⑤现状房屋分割示意图（如需）；</w:t>
      </w:r>
    </w:p>
    <w:p w14:paraId="33CE0164">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rPr>
        <w:t>⑥电子数据矢量文件光盘。</w:t>
      </w:r>
    </w:p>
    <w:p w14:paraId="1983BDE1">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w:t>
      </w:r>
      <w:r>
        <w:rPr>
          <w:rFonts w:hint="eastAsia" w:ascii="宋体" w:hAnsi="宋体" w:eastAsia="宋体" w:cs="宋体"/>
          <w:sz w:val="20"/>
          <w:szCs w:val="20"/>
          <w:lang w:eastAsia="zh-CN"/>
        </w:rPr>
        <w:t>服务期限</w:t>
      </w:r>
    </w:p>
    <w:p w14:paraId="6E182E23">
      <w:pPr>
        <w:pStyle w:val="5"/>
        <w:ind w:firstLine="420"/>
        <w:rPr>
          <w:rFonts w:hint="default"/>
          <w:sz w:val="21"/>
          <w:highlight w:val="none"/>
          <w:lang w:eastAsia="zh-CN"/>
        </w:rPr>
      </w:pPr>
      <w:r>
        <w:rPr>
          <w:rFonts w:hint="default"/>
          <w:sz w:val="21"/>
          <w:highlight w:val="none"/>
          <w:lang w:eastAsia="zh-CN"/>
        </w:rPr>
        <w:t>以采购人要求的范围与内容开展相关工作，一年之内提交工作成果</w:t>
      </w:r>
      <w:r>
        <w:rPr>
          <w:sz w:val="21"/>
          <w:highlight w:val="none"/>
          <w:lang w:eastAsia="zh-CN"/>
        </w:rPr>
        <w:t>。</w:t>
      </w:r>
    </w:p>
    <w:p w14:paraId="30AEF269">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.成果</w:t>
      </w:r>
      <w:r>
        <w:rPr>
          <w:rFonts w:hint="eastAsia" w:ascii="宋体" w:hAnsi="宋体" w:eastAsia="宋体" w:cs="宋体"/>
          <w:sz w:val="20"/>
          <w:szCs w:val="20"/>
          <w:lang w:val="en-US" w:eastAsia="zh-CN"/>
        </w:rPr>
        <w:t>验收</w:t>
      </w:r>
      <w:r>
        <w:rPr>
          <w:rFonts w:hint="eastAsia" w:ascii="宋体" w:hAnsi="宋体" w:eastAsia="宋体" w:cs="宋体"/>
          <w:sz w:val="20"/>
          <w:szCs w:val="20"/>
        </w:rPr>
        <w:t>要求</w:t>
      </w:r>
    </w:p>
    <w:p w14:paraId="1E23ECFC">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rPr>
        <w:t>提供符合合同执行的相关依据与技术标准的成果文件，技术服务工作成果的验收标准：中标人每季度终了向采购人提供已完成的项目工作成果，成果必须符合行业规范、地方通用标准以及项目采购需求和采购人的要求，采购人对已提交的成果资料进行核查，形成季度验收意见。项目服务期满或者结算金额累计达到本项目合同金额，由采购人按照广州市财政局关于政府采购相关文件等要求组织履约验收。</w:t>
      </w:r>
    </w:p>
    <w:p w14:paraId="4644DB09">
      <w:pPr>
        <w:spacing w:line="360" w:lineRule="auto"/>
        <w:ind w:firstLineChars="200"/>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r>
        <w:rPr>
          <w:rFonts w:hint="eastAsia" w:ascii="宋体" w:hAnsi="宋体" w:eastAsia="宋体" w:cs="宋体"/>
          <w:sz w:val="20"/>
          <w:szCs w:val="20"/>
        </w:rPr>
        <w:t>成果内容</w:t>
      </w:r>
      <w:r>
        <w:rPr>
          <w:rFonts w:hint="eastAsia" w:ascii="宋体" w:hAnsi="宋体" w:eastAsia="宋体" w:cs="宋体"/>
          <w:sz w:val="20"/>
          <w:szCs w:val="20"/>
          <w:lang w:eastAsia="zh-CN"/>
        </w:rPr>
        <w:t>：征收测量成果资料；征收测量报告。</w:t>
      </w:r>
    </w:p>
    <w:p w14:paraId="6E802655">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rPr>
        <w:t>成果</w:t>
      </w:r>
      <w:r>
        <w:rPr>
          <w:rFonts w:hint="eastAsia" w:ascii="宋体" w:hAnsi="宋体" w:eastAsia="宋体" w:cs="宋体"/>
          <w:sz w:val="20"/>
          <w:szCs w:val="20"/>
          <w:lang w:val="en-US" w:eastAsia="zh-CN"/>
        </w:rPr>
        <w:t>提交</w:t>
      </w:r>
      <w:r>
        <w:rPr>
          <w:rFonts w:hint="eastAsia" w:ascii="宋体" w:hAnsi="宋体" w:eastAsia="宋体" w:cs="宋体"/>
          <w:sz w:val="20"/>
          <w:szCs w:val="20"/>
        </w:rPr>
        <w:t>形式</w:t>
      </w:r>
    </w:p>
    <w:p w14:paraId="454B8AEF">
      <w:pPr>
        <w:spacing w:line="360" w:lineRule="auto"/>
        <w:ind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w:t>
      </w:r>
      <w:r>
        <w:rPr>
          <w:rFonts w:hint="eastAsia" w:ascii="宋体" w:hAnsi="宋体" w:eastAsia="宋体" w:cs="宋体"/>
          <w:sz w:val="20"/>
          <w:szCs w:val="20"/>
          <w:lang w:eastAsia="zh-CN"/>
        </w:rPr>
        <w:t>）</w:t>
      </w:r>
      <w:r>
        <w:rPr>
          <w:rFonts w:hint="eastAsia" w:ascii="宋体" w:hAnsi="宋体" w:eastAsia="宋体" w:cs="宋体"/>
          <w:sz w:val="20"/>
          <w:szCs w:val="20"/>
        </w:rPr>
        <w:t>项目成果形式包括纸质文档和电子文档。提交的成果资料不包括列入保密范围的等级控制点、矢量权属线等资料。成果数量依据各项目具体要求而定，如需提供超过合同规定份数或其他形式的数据成果时，其制作费用需另行支付。</w:t>
      </w:r>
    </w:p>
    <w:p w14:paraId="7E1DC22B">
      <w:pPr>
        <w:spacing w:line="360" w:lineRule="auto"/>
        <w:ind w:firstLineChars="200"/>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w:t>
      </w:r>
      <w:r>
        <w:rPr>
          <w:rFonts w:hint="eastAsia" w:ascii="宋体" w:hAnsi="宋体" w:eastAsia="宋体" w:cs="宋体"/>
          <w:sz w:val="20"/>
          <w:szCs w:val="20"/>
        </w:rPr>
        <w:t>纸质文档规格为A4（297mm×210mm）或A3（297mm×420mm），并力求清晰、完整，标注齐全、准确，同类图纸规格尽量统一。文本和图则合订为一本完整的书面成果。</w:t>
      </w:r>
    </w:p>
    <w:p w14:paraId="3E016416">
      <w:pPr>
        <w:spacing w:line="360" w:lineRule="auto"/>
        <w:ind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3</w:t>
      </w:r>
      <w:r>
        <w:rPr>
          <w:rFonts w:hint="eastAsia" w:ascii="宋体" w:hAnsi="宋体" w:eastAsia="宋体" w:cs="宋体"/>
          <w:sz w:val="20"/>
          <w:szCs w:val="20"/>
          <w:lang w:eastAsia="zh-CN"/>
        </w:rPr>
        <w:t>）</w:t>
      </w:r>
      <w:r>
        <w:rPr>
          <w:rFonts w:hint="eastAsia" w:ascii="宋体" w:hAnsi="宋体" w:eastAsia="宋体" w:cs="宋体"/>
          <w:sz w:val="20"/>
          <w:szCs w:val="20"/>
        </w:rPr>
        <w:t>电子文档以光盘形式提供，文本文件采用</w:t>
      </w:r>
      <w:r>
        <w:rPr>
          <w:rFonts w:hint="eastAsia" w:ascii="宋体" w:hAnsi="宋体" w:eastAsia="宋体" w:cs="宋体"/>
          <w:sz w:val="20"/>
          <w:szCs w:val="20"/>
          <w:lang w:eastAsia="zh-CN"/>
        </w:rPr>
        <w:t>docx</w:t>
      </w:r>
      <w:r>
        <w:rPr>
          <w:rFonts w:hint="eastAsia" w:ascii="宋体" w:hAnsi="宋体" w:eastAsia="宋体" w:cs="宋体"/>
          <w:sz w:val="20"/>
          <w:szCs w:val="20"/>
        </w:rPr>
        <w:t>、pdf</w:t>
      </w:r>
      <w:r>
        <w:rPr>
          <w:rFonts w:hint="eastAsia" w:ascii="宋体" w:hAnsi="宋体" w:eastAsia="宋体" w:cs="宋体"/>
          <w:sz w:val="20"/>
          <w:szCs w:val="20"/>
          <w:lang w:val="en-US" w:eastAsia="zh-CN"/>
        </w:rPr>
        <w:t>等</w:t>
      </w:r>
      <w:r>
        <w:rPr>
          <w:rFonts w:hint="eastAsia" w:ascii="宋体" w:hAnsi="宋体" w:eastAsia="宋体" w:cs="宋体"/>
          <w:sz w:val="20"/>
          <w:szCs w:val="20"/>
        </w:rPr>
        <w:t>格式文件，图形文件文件采用dwg或shp格式文件，图片文件采用</w:t>
      </w:r>
      <w:r>
        <w:rPr>
          <w:rFonts w:hint="eastAsia" w:ascii="宋体" w:hAnsi="宋体" w:eastAsia="宋体" w:cs="宋体"/>
          <w:sz w:val="20"/>
          <w:szCs w:val="20"/>
          <w:lang w:eastAsia="zh-CN"/>
        </w:rPr>
        <w:t>jpg</w:t>
      </w:r>
      <w:r>
        <w:rPr>
          <w:rFonts w:hint="eastAsia" w:ascii="宋体" w:hAnsi="宋体" w:eastAsia="宋体" w:cs="宋体"/>
          <w:sz w:val="20"/>
          <w:szCs w:val="20"/>
        </w:rPr>
        <w:t>、</w:t>
      </w:r>
      <w:r>
        <w:rPr>
          <w:rFonts w:hint="eastAsia" w:ascii="宋体" w:hAnsi="宋体" w:eastAsia="宋体" w:cs="宋体"/>
          <w:sz w:val="20"/>
          <w:szCs w:val="20"/>
          <w:lang w:eastAsia="zh-CN"/>
        </w:rPr>
        <w:t>png</w:t>
      </w:r>
      <w:r>
        <w:rPr>
          <w:rFonts w:hint="eastAsia" w:ascii="宋体" w:hAnsi="宋体" w:eastAsia="宋体" w:cs="宋体"/>
          <w:sz w:val="20"/>
          <w:szCs w:val="20"/>
        </w:rPr>
        <w:t>、</w:t>
      </w:r>
      <w:r>
        <w:rPr>
          <w:rFonts w:hint="eastAsia" w:ascii="宋体" w:hAnsi="宋体" w:eastAsia="宋体" w:cs="宋体"/>
          <w:sz w:val="20"/>
          <w:szCs w:val="20"/>
          <w:lang w:eastAsia="zh-CN"/>
        </w:rPr>
        <w:t>tiff</w:t>
      </w:r>
      <w:r>
        <w:rPr>
          <w:rFonts w:hint="eastAsia" w:ascii="宋体" w:hAnsi="宋体" w:eastAsia="宋体" w:cs="宋体"/>
          <w:sz w:val="20"/>
          <w:szCs w:val="20"/>
        </w:rPr>
        <w:t>格式文件，表格文件采用</w:t>
      </w:r>
      <w:r>
        <w:rPr>
          <w:rFonts w:hint="eastAsia" w:ascii="宋体" w:hAnsi="宋体" w:eastAsia="宋体" w:cs="宋体"/>
          <w:sz w:val="20"/>
          <w:szCs w:val="20"/>
          <w:lang w:eastAsia="zh-CN"/>
        </w:rPr>
        <w:t>xls</w:t>
      </w:r>
      <w:r>
        <w:rPr>
          <w:rFonts w:hint="eastAsia" w:ascii="宋体" w:hAnsi="宋体" w:eastAsia="宋体" w:cs="宋体"/>
          <w:sz w:val="20"/>
          <w:szCs w:val="20"/>
        </w:rPr>
        <w:t>、</w:t>
      </w:r>
      <w:r>
        <w:rPr>
          <w:rFonts w:hint="eastAsia" w:ascii="宋体" w:hAnsi="宋体" w:eastAsia="宋体" w:cs="宋体"/>
          <w:sz w:val="20"/>
          <w:szCs w:val="20"/>
          <w:lang w:eastAsia="zh-CN"/>
        </w:rPr>
        <w:t>xlsx</w:t>
      </w:r>
      <w:r>
        <w:rPr>
          <w:rFonts w:hint="eastAsia" w:ascii="宋体" w:hAnsi="宋体" w:eastAsia="宋体" w:cs="宋体"/>
          <w:sz w:val="20"/>
          <w:szCs w:val="20"/>
        </w:rPr>
        <w:t>、</w:t>
      </w:r>
      <w:r>
        <w:rPr>
          <w:rFonts w:hint="eastAsia" w:ascii="宋体" w:hAnsi="宋体" w:eastAsia="宋体" w:cs="宋体"/>
          <w:sz w:val="20"/>
          <w:szCs w:val="20"/>
          <w:lang w:eastAsia="zh-CN"/>
        </w:rPr>
        <w:t>csv</w:t>
      </w:r>
      <w:r>
        <w:rPr>
          <w:rFonts w:hint="eastAsia" w:ascii="宋体" w:hAnsi="宋体" w:eastAsia="宋体" w:cs="宋体"/>
          <w:sz w:val="20"/>
          <w:szCs w:val="20"/>
        </w:rPr>
        <w:t>格式文件，成果计算机数据若涉及空间坐标，应建立在广州2000平面坐标或</w:t>
      </w:r>
      <w:r>
        <w:rPr>
          <w:rFonts w:hint="eastAsia" w:ascii="宋体" w:hAnsi="宋体" w:eastAsia="宋体" w:cs="宋体"/>
          <w:sz w:val="20"/>
          <w:szCs w:val="20"/>
          <w:lang w:eastAsia="zh-CN"/>
        </w:rPr>
        <w:t>CGCS2000国家平面坐标</w:t>
      </w:r>
      <w:r>
        <w:rPr>
          <w:rFonts w:hint="eastAsia" w:ascii="宋体" w:hAnsi="宋体" w:eastAsia="宋体" w:cs="宋体"/>
          <w:sz w:val="20"/>
          <w:szCs w:val="20"/>
        </w:rPr>
        <w:t>、广州市高程系统。</w:t>
      </w:r>
    </w:p>
    <w:p w14:paraId="56C6E9D0">
      <w:pPr>
        <w:pStyle w:val="5"/>
        <w:spacing w:line="360" w:lineRule="auto"/>
        <w:outlineLvl w:val="1"/>
        <w:rPr>
          <w:rFonts w:hint="eastAsia" w:ascii="宋体" w:hAnsi="宋体" w:eastAsia="宋体" w:cs="宋体"/>
          <w:b/>
          <w:bCs/>
          <w:kern w:val="2"/>
          <w:sz w:val="20"/>
          <w:szCs w:val="20"/>
          <w:lang w:eastAsia="zh-CN"/>
        </w:rPr>
      </w:pPr>
      <w:r>
        <w:rPr>
          <w:rFonts w:hint="eastAsia" w:ascii="宋体" w:hAnsi="宋体" w:eastAsia="宋体" w:cs="宋体"/>
          <w:b/>
          <w:bCs/>
          <w:kern w:val="2"/>
          <w:sz w:val="20"/>
          <w:szCs w:val="20"/>
          <w:lang w:eastAsia="zh-CN"/>
        </w:rPr>
        <w:t>三、项目预算</w:t>
      </w:r>
    </w:p>
    <w:p w14:paraId="2804C082">
      <w:pPr>
        <w:pStyle w:val="5"/>
        <w:spacing w:line="360" w:lineRule="auto"/>
        <w:ind w:firstLine="420"/>
        <w:jc w:val="both"/>
        <w:rPr>
          <w:rFonts w:hint="eastAsia" w:ascii="宋体" w:hAnsi="宋体" w:eastAsia="宋体" w:cs="宋体"/>
          <w:sz w:val="20"/>
          <w:szCs w:val="20"/>
        </w:rPr>
      </w:pPr>
      <w:r>
        <w:rPr>
          <w:rFonts w:hint="eastAsia" w:ascii="宋体" w:hAnsi="宋体" w:eastAsia="宋体" w:cs="宋体"/>
          <w:sz w:val="20"/>
          <w:szCs w:val="20"/>
        </w:rPr>
        <w:t>1.总预算：人民币（¥</w:t>
      </w:r>
      <w:r>
        <w:rPr>
          <w:rFonts w:hint="eastAsia" w:ascii="宋体" w:hAnsi="宋体" w:eastAsia="宋体" w:cs="宋体"/>
          <w:b w:val="0"/>
          <w:sz w:val="20"/>
          <w:szCs w:val="20"/>
        </w:rPr>
        <w:t>12</w:t>
      </w:r>
      <w:r>
        <w:rPr>
          <w:rFonts w:hint="eastAsia" w:ascii="宋体" w:hAnsi="宋体" w:eastAsia="宋体" w:cs="宋体"/>
          <w:b w:val="0"/>
          <w:sz w:val="20"/>
          <w:szCs w:val="20"/>
          <w:lang w:val="en-US" w:eastAsia="zh-CN"/>
        </w:rPr>
        <w:t>,</w:t>
      </w:r>
      <w:r>
        <w:rPr>
          <w:rFonts w:hint="eastAsia" w:ascii="宋体" w:hAnsi="宋体" w:eastAsia="宋体" w:cs="宋体"/>
          <w:b w:val="0"/>
          <w:sz w:val="20"/>
          <w:szCs w:val="20"/>
        </w:rPr>
        <w:t>060</w:t>
      </w:r>
      <w:r>
        <w:rPr>
          <w:rFonts w:hint="eastAsia" w:ascii="宋体" w:hAnsi="宋体" w:eastAsia="宋体" w:cs="宋体"/>
          <w:b w:val="0"/>
          <w:sz w:val="20"/>
          <w:szCs w:val="20"/>
          <w:lang w:val="en-US" w:eastAsia="zh-CN"/>
        </w:rPr>
        <w:t>,</w:t>
      </w:r>
      <w:r>
        <w:rPr>
          <w:rFonts w:hint="eastAsia" w:ascii="宋体" w:hAnsi="宋体" w:eastAsia="宋体" w:cs="宋体"/>
          <w:b w:val="0"/>
          <w:sz w:val="20"/>
          <w:szCs w:val="20"/>
        </w:rPr>
        <w:t>934.6</w:t>
      </w:r>
      <w:r>
        <w:rPr>
          <w:rFonts w:hint="eastAsia" w:ascii="宋体" w:hAnsi="宋体" w:eastAsia="宋体" w:cs="宋体"/>
          <w:b w:val="0"/>
          <w:sz w:val="20"/>
          <w:szCs w:val="20"/>
          <w:lang w:val="en-US" w:eastAsia="zh-CN"/>
        </w:rPr>
        <w:t>0</w:t>
      </w:r>
      <w:r>
        <w:rPr>
          <w:rFonts w:hint="eastAsia" w:ascii="宋体" w:hAnsi="宋体" w:eastAsia="宋体" w:cs="宋体"/>
          <w:sz w:val="20"/>
          <w:szCs w:val="20"/>
        </w:rPr>
        <w:t>）。</w:t>
      </w:r>
    </w:p>
    <w:p w14:paraId="5959FCF0">
      <w:pPr>
        <w:pStyle w:val="5"/>
        <w:spacing w:line="360" w:lineRule="auto"/>
        <w:ind w:firstLine="420"/>
        <w:jc w:val="both"/>
        <w:rPr>
          <w:rFonts w:hint="eastAsia" w:ascii="宋体" w:hAnsi="宋体" w:eastAsia="宋体" w:cs="宋体"/>
          <w:sz w:val="20"/>
          <w:szCs w:val="20"/>
        </w:rPr>
      </w:pPr>
      <w:r>
        <w:rPr>
          <w:rFonts w:hint="eastAsia" w:ascii="宋体" w:hAnsi="宋体" w:eastAsia="宋体" w:cs="宋体"/>
          <w:sz w:val="20"/>
          <w:szCs w:val="20"/>
        </w:rPr>
        <w:t>2.预算清单</w:t>
      </w:r>
    </w:p>
    <w:tbl>
      <w:tblPr>
        <w:tblStyle w:val="3"/>
        <w:tblW w:w="4997"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3"/>
        <w:gridCol w:w="2360"/>
        <w:gridCol w:w="991"/>
        <w:gridCol w:w="1274"/>
        <w:gridCol w:w="858"/>
        <w:gridCol w:w="1348"/>
        <w:gridCol w:w="747"/>
      </w:tblGrid>
      <w:tr w14:paraId="3AF350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88" w:hRule="atLeast"/>
          <w:tblHeader/>
          <w:jc w:val="center"/>
        </w:trPr>
        <w:tc>
          <w:tcPr>
            <w:tcW w:w="54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73A736D">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项目内容</w:t>
            </w:r>
          </w:p>
        </w:tc>
        <w:tc>
          <w:tcPr>
            <w:tcW w:w="138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AD53A2">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子项目内容</w:t>
            </w:r>
          </w:p>
        </w:tc>
        <w:tc>
          <w:tcPr>
            <w:tcW w:w="58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6E33E9">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计量单位</w:t>
            </w:r>
          </w:p>
        </w:tc>
        <w:tc>
          <w:tcPr>
            <w:tcW w:w="74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7CA451D">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数量</w:t>
            </w:r>
          </w:p>
        </w:tc>
        <w:tc>
          <w:tcPr>
            <w:tcW w:w="50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5CA50B6">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单价</w:t>
            </w:r>
          </w:p>
          <w:p w14:paraId="2D873487">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（元）</w:t>
            </w:r>
          </w:p>
        </w:tc>
        <w:tc>
          <w:tcPr>
            <w:tcW w:w="792" w:type="pct"/>
            <w:tcBorders>
              <w:top w:val="single" w:color="000000" w:sz="4" w:space="0"/>
              <w:left w:val="single" w:color="000000" w:sz="4" w:space="0"/>
              <w:bottom w:val="single" w:color="000000" w:sz="4" w:space="0"/>
              <w:right w:val="single" w:color="000000" w:sz="4" w:space="0"/>
            </w:tcBorders>
          </w:tcPr>
          <w:p w14:paraId="1926F642">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总价</w:t>
            </w:r>
          </w:p>
          <w:p w14:paraId="1B856F20">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（元）</w:t>
            </w:r>
          </w:p>
        </w:tc>
        <w:tc>
          <w:tcPr>
            <w:tcW w:w="43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F6F3CA">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备注</w:t>
            </w:r>
          </w:p>
        </w:tc>
      </w:tr>
      <w:tr w14:paraId="2465EE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48" w:type="pct"/>
            <w:vMerge w:val="restart"/>
            <w:tcBorders>
              <w:top w:val="nil"/>
              <w:left w:val="single" w:color="000000" w:sz="4" w:space="0"/>
              <w:right w:val="single" w:color="000000" w:sz="4" w:space="0"/>
            </w:tcBorders>
            <w:tcMar>
              <w:top w:w="0" w:type="dxa"/>
              <w:left w:w="105" w:type="dxa"/>
              <w:bottom w:w="0" w:type="dxa"/>
              <w:right w:w="105" w:type="dxa"/>
            </w:tcMar>
            <w:vAlign w:val="center"/>
          </w:tcPr>
          <w:p w14:paraId="417E5715">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改造范围征收测量</w:t>
            </w:r>
          </w:p>
        </w:tc>
        <w:tc>
          <w:tcPr>
            <w:tcW w:w="138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DFA09D">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房屋（个人住宅）拆迁测量</w:t>
            </w:r>
          </w:p>
        </w:tc>
        <w:tc>
          <w:tcPr>
            <w:tcW w:w="5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2174A9">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平方米</w:t>
            </w:r>
          </w:p>
        </w:tc>
        <w:tc>
          <w:tcPr>
            <w:tcW w:w="74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855820">
            <w:pPr>
              <w:pStyle w:val="5"/>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 xml:space="preserve">1544127 </w:t>
            </w:r>
          </w:p>
        </w:tc>
        <w:tc>
          <w:tcPr>
            <w:tcW w:w="50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92B0A5">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 xml:space="preserve">1.36 </w:t>
            </w:r>
          </w:p>
        </w:tc>
        <w:tc>
          <w:tcPr>
            <w:tcW w:w="792" w:type="pct"/>
            <w:tcBorders>
              <w:top w:val="nil"/>
              <w:left w:val="single" w:color="000000" w:sz="4" w:space="0"/>
              <w:bottom w:val="single" w:color="000000" w:sz="4" w:space="0"/>
              <w:right w:val="single" w:color="000000" w:sz="4" w:space="0"/>
            </w:tcBorders>
            <w:vAlign w:val="center"/>
          </w:tcPr>
          <w:p w14:paraId="7CA33715">
            <w:pPr>
              <w:keepNext w:val="0"/>
              <w:keepLines w:val="0"/>
              <w:widowControl/>
              <w:suppressLineNumbers w:val="0"/>
              <w:spacing w:line="360" w:lineRule="auto"/>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2100012.72 </w:t>
            </w:r>
          </w:p>
        </w:tc>
        <w:tc>
          <w:tcPr>
            <w:tcW w:w="4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8F8ECC">
            <w:pPr>
              <w:pStyle w:val="5"/>
              <w:spacing w:line="360" w:lineRule="auto"/>
              <w:jc w:val="center"/>
              <w:rPr>
                <w:rFonts w:hint="eastAsia" w:ascii="宋体" w:hAnsi="宋体" w:eastAsia="宋体" w:cs="宋体"/>
                <w:sz w:val="20"/>
                <w:szCs w:val="20"/>
              </w:rPr>
            </w:pPr>
          </w:p>
        </w:tc>
      </w:tr>
      <w:tr w14:paraId="62366A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48" w:type="pct"/>
            <w:vMerge w:val="continue"/>
            <w:tcBorders>
              <w:left w:val="single" w:color="000000" w:sz="4" w:space="0"/>
              <w:right w:val="single" w:color="000000" w:sz="4" w:space="0"/>
            </w:tcBorders>
            <w:vAlign w:val="center"/>
          </w:tcPr>
          <w:p w14:paraId="7A46C3CB">
            <w:pPr>
              <w:spacing w:line="360" w:lineRule="auto"/>
              <w:rPr>
                <w:rFonts w:hint="eastAsia" w:ascii="宋体" w:hAnsi="宋体" w:eastAsia="宋体" w:cs="宋体"/>
                <w:sz w:val="20"/>
                <w:szCs w:val="20"/>
              </w:rPr>
            </w:pPr>
          </w:p>
        </w:tc>
        <w:tc>
          <w:tcPr>
            <w:tcW w:w="138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D23D8F">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房屋（集体物业）拆迁测量</w:t>
            </w:r>
          </w:p>
        </w:tc>
        <w:tc>
          <w:tcPr>
            <w:tcW w:w="5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903F56">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平方米</w:t>
            </w:r>
          </w:p>
        </w:tc>
        <w:tc>
          <w:tcPr>
            <w:tcW w:w="74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DA9C68">
            <w:pPr>
              <w:pStyle w:val="5"/>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 xml:space="preserve">755255 </w:t>
            </w:r>
          </w:p>
        </w:tc>
        <w:tc>
          <w:tcPr>
            <w:tcW w:w="50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AF3DA3">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 xml:space="preserve">2.04 </w:t>
            </w:r>
          </w:p>
        </w:tc>
        <w:tc>
          <w:tcPr>
            <w:tcW w:w="792" w:type="pct"/>
            <w:tcBorders>
              <w:top w:val="nil"/>
              <w:left w:val="single" w:color="000000" w:sz="4" w:space="0"/>
              <w:bottom w:val="single" w:color="000000" w:sz="4" w:space="0"/>
              <w:right w:val="single" w:color="000000" w:sz="4" w:space="0"/>
            </w:tcBorders>
            <w:vAlign w:val="center"/>
          </w:tcPr>
          <w:p w14:paraId="3AB97828">
            <w:pPr>
              <w:keepNext w:val="0"/>
              <w:keepLines w:val="0"/>
              <w:widowControl/>
              <w:suppressLineNumbers w:val="0"/>
              <w:spacing w:line="360" w:lineRule="auto"/>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1540720.20 </w:t>
            </w:r>
          </w:p>
        </w:tc>
        <w:tc>
          <w:tcPr>
            <w:tcW w:w="4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DC79B8">
            <w:pPr>
              <w:pStyle w:val="5"/>
              <w:spacing w:line="360" w:lineRule="auto"/>
              <w:jc w:val="center"/>
              <w:rPr>
                <w:rFonts w:hint="eastAsia" w:ascii="宋体" w:hAnsi="宋体" w:eastAsia="宋体" w:cs="宋体"/>
                <w:sz w:val="20"/>
                <w:szCs w:val="20"/>
              </w:rPr>
            </w:pPr>
          </w:p>
        </w:tc>
      </w:tr>
      <w:tr w14:paraId="0332D6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48" w:type="pct"/>
            <w:vMerge w:val="continue"/>
            <w:tcBorders>
              <w:left w:val="single" w:color="000000" w:sz="4" w:space="0"/>
              <w:right w:val="single" w:color="000000" w:sz="4" w:space="0"/>
            </w:tcBorders>
            <w:vAlign w:val="center"/>
          </w:tcPr>
          <w:p w14:paraId="099A6460">
            <w:pPr>
              <w:spacing w:line="360" w:lineRule="auto"/>
              <w:rPr>
                <w:rFonts w:hint="eastAsia" w:ascii="宋体" w:hAnsi="宋体" w:eastAsia="宋体" w:cs="宋体"/>
                <w:sz w:val="20"/>
                <w:szCs w:val="20"/>
              </w:rPr>
            </w:pPr>
          </w:p>
        </w:tc>
        <w:tc>
          <w:tcPr>
            <w:tcW w:w="138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09694E">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房屋（多功能综合楼用房等其他房屋）拆迁测量</w:t>
            </w:r>
          </w:p>
        </w:tc>
        <w:tc>
          <w:tcPr>
            <w:tcW w:w="5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19922E">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平方米</w:t>
            </w:r>
          </w:p>
        </w:tc>
        <w:tc>
          <w:tcPr>
            <w:tcW w:w="74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09B512">
            <w:pPr>
              <w:pStyle w:val="5"/>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 xml:space="preserve">65622 </w:t>
            </w:r>
          </w:p>
        </w:tc>
        <w:tc>
          <w:tcPr>
            <w:tcW w:w="50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745385">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 xml:space="preserve">2.72 </w:t>
            </w:r>
          </w:p>
        </w:tc>
        <w:tc>
          <w:tcPr>
            <w:tcW w:w="792" w:type="pct"/>
            <w:tcBorders>
              <w:top w:val="nil"/>
              <w:left w:val="single" w:color="000000" w:sz="4" w:space="0"/>
              <w:bottom w:val="single" w:color="000000" w:sz="4" w:space="0"/>
              <w:right w:val="single" w:color="000000" w:sz="4" w:space="0"/>
            </w:tcBorders>
            <w:vAlign w:val="center"/>
          </w:tcPr>
          <w:p w14:paraId="4F295373">
            <w:pPr>
              <w:keepNext w:val="0"/>
              <w:keepLines w:val="0"/>
              <w:widowControl/>
              <w:suppressLineNumbers w:val="0"/>
              <w:spacing w:line="360" w:lineRule="auto"/>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178491.84 </w:t>
            </w:r>
          </w:p>
        </w:tc>
        <w:tc>
          <w:tcPr>
            <w:tcW w:w="4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B5094D">
            <w:pPr>
              <w:pStyle w:val="5"/>
              <w:spacing w:line="360" w:lineRule="auto"/>
              <w:jc w:val="center"/>
              <w:rPr>
                <w:rFonts w:hint="eastAsia" w:ascii="宋体" w:hAnsi="宋体" w:eastAsia="宋体" w:cs="宋体"/>
                <w:sz w:val="20"/>
                <w:szCs w:val="20"/>
              </w:rPr>
            </w:pPr>
          </w:p>
        </w:tc>
      </w:tr>
      <w:tr w14:paraId="48A89E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48" w:type="pct"/>
            <w:vMerge w:val="continue"/>
            <w:tcBorders>
              <w:left w:val="single" w:color="000000" w:sz="4" w:space="0"/>
              <w:right w:val="single" w:color="000000" w:sz="4" w:space="0"/>
            </w:tcBorders>
            <w:vAlign w:val="center"/>
          </w:tcPr>
          <w:p w14:paraId="4BDC06AD">
            <w:pPr>
              <w:spacing w:line="360" w:lineRule="auto"/>
              <w:rPr>
                <w:rFonts w:hint="eastAsia" w:ascii="宋体" w:hAnsi="宋体" w:eastAsia="宋体" w:cs="宋体"/>
                <w:sz w:val="20"/>
                <w:szCs w:val="20"/>
              </w:rPr>
            </w:pPr>
          </w:p>
        </w:tc>
        <w:tc>
          <w:tcPr>
            <w:tcW w:w="138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F90399">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面（线）状附着物测绘</w:t>
            </w:r>
          </w:p>
        </w:tc>
        <w:tc>
          <w:tcPr>
            <w:tcW w:w="5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0BDBE0">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平方米</w:t>
            </w:r>
          </w:p>
        </w:tc>
        <w:tc>
          <w:tcPr>
            <w:tcW w:w="74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FEEB4D">
            <w:pPr>
              <w:pStyle w:val="5"/>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 xml:space="preserve">503300 </w:t>
            </w:r>
          </w:p>
        </w:tc>
        <w:tc>
          <w:tcPr>
            <w:tcW w:w="50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95DB63">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 xml:space="preserve">1.36 </w:t>
            </w:r>
          </w:p>
        </w:tc>
        <w:tc>
          <w:tcPr>
            <w:tcW w:w="792" w:type="pct"/>
            <w:tcBorders>
              <w:top w:val="nil"/>
              <w:left w:val="single" w:color="000000" w:sz="4" w:space="0"/>
              <w:bottom w:val="single" w:color="000000" w:sz="4" w:space="0"/>
              <w:right w:val="single" w:color="000000" w:sz="4" w:space="0"/>
            </w:tcBorders>
            <w:vAlign w:val="center"/>
          </w:tcPr>
          <w:p w14:paraId="03568629">
            <w:pPr>
              <w:keepNext w:val="0"/>
              <w:keepLines w:val="0"/>
              <w:widowControl/>
              <w:suppressLineNumbers w:val="0"/>
              <w:spacing w:line="360" w:lineRule="auto"/>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684488.00 </w:t>
            </w:r>
          </w:p>
        </w:tc>
        <w:tc>
          <w:tcPr>
            <w:tcW w:w="4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0E4CE5">
            <w:pPr>
              <w:pStyle w:val="5"/>
              <w:spacing w:line="360" w:lineRule="auto"/>
              <w:jc w:val="center"/>
              <w:rPr>
                <w:rFonts w:hint="eastAsia" w:ascii="宋体" w:hAnsi="宋体" w:eastAsia="宋体" w:cs="宋体"/>
                <w:sz w:val="20"/>
                <w:szCs w:val="20"/>
              </w:rPr>
            </w:pPr>
          </w:p>
        </w:tc>
      </w:tr>
      <w:tr w14:paraId="577DA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48" w:type="pct"/>
            <w:vMerge w:val="continue"/>
            <w:tcBorders>
              <w:left w:val="single" w:color="000000" w:sz="4" w:space="0"/>
              <w:right w:val="single" w:color="000000" w:sz="4" w:space="0"/>
            </w:tcBorders>
            <w:vAlign w:val="center"/>
          </w:tcPr>
          <w:p w14:paraId="46F9C0F5">
            <w:pPr>
              <w:spacing w:line="360" w:lineRule="auto"/>
              <w:rPr>
                <w:rFonts w:hint="eastAsia" w:ascii="宋体" w:hAnsi="宋体" w:eastAsia="宋体" w:cs="宋体"/>
                <w:sz w:val="20"/>
                <w:szCs w:val="20"/>
              </w:rPr>
            </w:pPr>
          </w:p>
        </w:tc>
        <w:tc>
          <w:tcPr>
            <w:tcW w:w="138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6C61EC">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点状附着物测绘</w:t>
            </w:r>
          </w:p>
        </w:tc>
        <w:tc>
          <w:tcPr>
            <w:tcW w:w="5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F5A2A8">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点</w:t>
            </w:r>
          </w:p>
        </w:tc>
        <w:tc>
          <w:tcPr>
            <w:tcW w:w="74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6DCDB1">
            <w:pPr>
              <w:pStyle w:val="5"/>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 xml:space="preserve">21000 </w:t>
            </w:r>
          </w:p>
        </w:tc>
        <w:tc>
          <w:tcPr>
            <w:tcW w:w="50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78BDCA">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 xml:space="preserve">60.00 </w:t>
            </w:r>
          </w:p>
        </w:tc>
        <w:tc>
          <w:tcPr>
            <w:tcW w:w="792" w:type="pct"/>
            <w:tcBorders>
              <w:top w:val="nil"/>
              <w:left w:val="single" w:color="000000" w:sz="4" w:space="0"/>
              <w:bottom w:val="single" w:color="000000" w:sz="4" w:space="0"/>
              <w:right w:val="single" w:color="000000" w:sz="4" w:space="0"/>
            </w:tcBorders>
            <w:vAlign w:val="center"/>
          </w:tcPr>
          <w:p w14:paraId="3656C264">
            <w:pPr>
              <w:keepNext w:val="0"/>
              <w:keepLines w:val="0"/>
              <w:widowControl/>
              <w:suppressLineNumbers w:val="0"/>
              <w:spacing w:line="360" w:lineRule="auto"/>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1260000.00 </w:t>
            </w:r>
          </w:p>
        </w:tc>
        <w:tc>
          <w:tcPr>
            <w:tcW w:w="4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15DAF4">
            <w:pPr>
              <w:pStyle w:val="5"/>
              <w:spacing w:line="360" w:lineRule="auto"/>
              <w:jc w:val="center"/>
              <w:rPr>
                <w:rFonts w:hint="eastAsia" w:ascii="宋体" w:hAnsi="宋体" w:eastAsia="宋体" w:cs="宋体"/>
                <w:sz w:val="20"/>
                <w:szCs w:val="20"/>
              </w:rPr>
            </w:pPr>
          </w:p>
        </w:tc>
      </w:tr>
      <w:tr w14:paraId="57A51A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48" w:type="pct"/>
            <w:vMerge w:val="continue"/>
            <w:tcBorders>
              <w:left w:val="single" w:color="000000" w:sz="4" w:space="0"/>
              <w:right w:val="single" w:color="000000" w:sz="4" w:space="0"/>
            </w:tcBorders>
            <w:vAlign w:val="center"/>
          </w:tcPr>
          <w:p w14:paraId="10991C51">
            <w:pPr>
              <w:spacing w:line="360" w:lineRule="auto"/>
              <w:rPr>
                <w:rFonts w:hint="eastAsia" w:ascii="宋体" w:hAnsi="宋体" w:eastAsia="宋体" w:cs="宋体"/>
                <w:sz w:val="20"/>
                <w:szCs w:val="20"/>
              </w:rPr>
            </w:pPr>
          </w:p>
        </w:tc>
        <w:tc>
          <w:tcPr>
            <w:tcW w:w="138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E0084B">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建筑物历史情况对比</w:t>
            </w:r>
          </w:p>
        </w:tc>
        <w:tc>
          <w:tcPr>
            <w:tcW w:w="5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AB2048">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平方米</w:t>
            </w:r>
          </w:p>
        </w:tc>
        <w:tc>
          <w:tcPr>
            <w:tcW w:w="74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502275F">
            <w:pPr>
              <w:pStyle w:val="5"/>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2005172 </w:t>
            </w:r>
          </w:p>
        </w:tc>
        <w:tc>
          <w:tcPr>
            <w:tcW w:w="50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AD50B6">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 xml:space="preserve">2.72 </w:t>
            </w:r>
          </w:p>
        </w:tc>
        <w:tc>
          <w:tcPr>
            <w:tcW w:w="792" w:type="pct"/>
            <w:tcBorders>
              <w:top w:val="nil"/>
              <w:left w:val="single" w:color="000000" w:sz="4" w:space="0"/>
              <w:bottom w:val="single" w:color="000000" w:sz="4" w:space="0"/>
              <w:right w:val="single" w:color="000000" w:sz="4" w:space="0"/>
            </w:tcBorders>
            <w:vAlign w:val="center"/>
          </w:tcPr>
          <w:p w14:paraId="0C2109BA">
            <w:pPr>
              <w:keepNext w:val="0"/>
              <w:keepLines w:val="0"/>
              <w:widowControl/>
              <w:suppressLineNumbers w:val="0"/>
              <w:spacing w:line="360" w:lineRule="auto"/>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5454067.84 </w:t>
            </w:r>
          </w:p>
        </w:tc>
        <w:tc>
          <w:tcPr>
            <w:tcW w:w="4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FE30DA">
            <w:pPr>
              <w:pStyle w:val="5"/>
              <w:spacing w:line="360" w:lineRule="auto"/>
              <w:jc w:val="center"/>
              <w:rPr>
                <w:rFonts w:hint="eastAsia" w:ascii="宋体" w:hAnsi="宋体" w:eastAsia="宋体" w:cs="宋体"/>
                <w:sz w:val="20"/>
                <w:szCs w:val="20"/>
              </w:rPr>
            </w:pPr>
          </w:p>
        </w:tc>
      </w:tr>
      <w:tr w14:paraId="1E49CD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48" w:type="pct"/>
            <w:vMerge w:val="continue"/>
            <w:tcBorders>
              <w:left w:val="single" w:color="000000" w:sz="4" w:space="0"/>
              <w:right w:val="single" w:color="000000" w:sz="4" w:space="0"/>
            </w:tcBorders>
            <w:vAlign w:val="center"/>
          </w:tcPr>
          <w:p w14:paraId="281E55D2">
            <w:pPr>
              <w:spacing w:line="360" w:lineRule="auto"/>
              <w:rPr>
                <w:rFonts w:hint="eastAsia" w:ascii="宋体" w:hAnsi="宋体" w:eastAsia="宋体" w:cs="宋体"/>
                <w:sz w:val="20"/>
                <w:szCs w:val="20"/>
              </w:rPr>
            </w:pPr>
          </w:p>
        </w:tc>
        <w:tc>
          <w:tcPr>
            <w:tcW w:w="138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CF2126">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界址点测量（放桩）</w:t>
            </w:r>
          </w:p>
        </w:tc>
        <w:tc>
          <w:tcPr>
            <w:tcW w:w="5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3769B2">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点</w:t>
            </w:r>
          </w:p>
        </w:tc>
        <w:tc>
          <w:tcPr>
            <w:tcW w:w="748"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7DEC906">
            <w:pPr>
              <w:pStyle w:val="5"/>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1300 </w:t>
            </w:r>
          </w:p>
        </w:tc>
        <w:tc>
          <w:tcPr>
            <w:tcW w:w="50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D2D295">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 xml:space="preserve">648.58 </w:t>
            </w:r>
          </w:p>
        </w:tc>
        <w:tc>
          <w:tcPr>
            <w:tcW w:w="792" w:type="pct"/>
            <w:tcBorders>
              <w:top w:val="nil"/>
              <w:left w:val="single" w:color="000000" w:sz="4" w:space="0"/>
              <w:bottom w:val="single" w:color="000000" w:sz="4" w:space="0"/>
              <w:right w:val="single" w:color="000000" w:sz="4" w:space="0"/>
            </w:tcBorders>
            <w:vAlign w:val="center"/>
          </w:tcPr>
          <w:p w14:paraId="1F6C9372">
            <w:pPr>
              <w:keepNext w:val="0"/>
              <w:keepLines w:val="0"/>
              <w:widowControl/>
              <w:suppressLineNumbers w:val="0"/>
              <w:spacing w:line="360" w:lineRule="auto"/>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 xml:space="preserve">843154.00 </w:t>
            </w:r>
          </w:p>
        </w:tc>
        <w:tc>
          <w:tcPr>
            <w:tcW w:w="4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E56B15">
            <w:pPr>
              <w:pStyle w:val="5"/>
              <w:spacing w:line="360" w:lineRule="auto"/>
              <w:jc w:val="center"/>
              <w:rPr>
                <w:rFonts w:hint="eastAsia" w:ascii="宋体" w:hAnsi="宋体" w:eastAsia="宋体" w:cs="宋体"/>
                <w:sz w:val="20"/>
                <w:szCs w:val="20"/>
              </w:rPr>
            </w:pPr>
          </w:p>
        </w:tc>
      </w:tr>
      <w:tr w14:paraId="711D6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48" w:type="pct"/>
            <w:vMerge w:val="continue"/>
            <w:tcBorders>
              <w:left w:val="single" w:color="000000" w:sz="4" w:space="0"/>
              <w:bottom w:val="single" w:color="000000" w:sz="4" w:space="0"/>
              <w:right w:val="single" w:color="000000" w:sz="4" w:space="0"/>
            </w:tcBorders>
            <w:vAlign w:val="center"/>
          </w:tcPr>
          <w:p w14:paraId="13B32616">
            <w:pPr>
              <w:spacing w:line="360" w:lineRule="auto"/>
              <w:rPr>
                <w:rFonts w:hint="eastAsia" w:ascii="宋体" w:hAnsi="宋体" w:eastAsia="宋体" w:cs="宋体"/>
                <w:sz w:val="20"/>
                <w:szCs w:val="20"/>
              </w:rPr>
            </w:pPr>
          </w:p>
        </w:tc>
        <w:tc>
          <w:tcPr>
            <w:tcW w:w="138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C8E8BE">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合</w:t>
            </w:r>
            <w:r>
              <w:rPr>
                <w:rFonts w:hint="eastAsia" w:ascii="宋体" w:hAnsi="宋体" w:eastAsia="宋体" w:cs="宋体"/>
                <w:sz w:val="20"/>
                <w:szCs w:val="20"/>
              </w:rPr>
              <w:t>计（元）</w:t>
            </w:r>
          </w:p>
        </w:tc>
        <w:tc>
          <w:tcPr>
            <w:tcW w:w="3065" w:type="pct"/>
            <w:gridSpan w:val="5"/>
            <w:tcBorders>
              <w:top w:val="nil"/>
              <w:left w:val="single" w:color="000000" w:sz="4" w:space="0"/>
              <w:bottom w:val="single" w:color="000000" w:sz="4" w:space="0"/>
              <w:right w:val="single" w:color="000000" w:sz="4" w:space="0"/>
            </w:tcBorders>
            <w:vAlign w:val="center"/>
          </w:tcPr>
          <w:p w14:paraId="20A18FFC">
            <w:pPr>
              <w:pStyle w:val="5"/>
              <w:spacing w:line="360" w:lineRule="auto"/>
              <w:jc w:val="center"/>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b w:val="0"/>
                <w:sz w:val="20"/>
                <w:szCs w:val="20"/>
              </w:rPr>
              <w:t>12</w:t>
            </w:r>
            <w:r>
              <w:rPr>
                <w:rFonts w:hint="eastAsia" w:ascii="宋体" w:hAnsi="宋体" w:eastAsia="宋体" w:cs="宋体"/>
                <w:b w:val="0"/>
                <w:sz w:val="20"/>
                <w:szCs w:val="20"/>
                <w:lang w:val="en-US" w:eastAsia="zh-CN"/>
              </w:rPr>
              <w:t>,</w:t>
            </w:r>
            <w:r>
              <w:rPr>
                <w:rFonts w:hint="eastAsia" w:ascii="宋体" w:hAnsi="宋体" w:eastAsia="宋体" w:cs="宋体"/>
                <w:b w:val="0"/>
                <w:sz w:val="20"/>
                <w:szCs w:val="20"/>
              </w:rPr>
              <w:t>060</w:t>
            </w:r>
            <w:r>
              <w:rPr>
                <w:rFonts w:hint="eastAsia" w:ascii="宋体" w:hAnsi="宋体" w:eastAsia="宋体" w:cs="宋体"/>
                <w:b w:val="0"/>
                <w:sz w:val="20"/>
                <w:szCs w:val="20"/>
                <w:lang w:val="en-US" w:eastAsia="zh-CN"/>
              </w:rPr>
              <w:t>,</w:t>
            </w:r>
            <w:r>
              <w:rPr>
                <w:rFonts w:hint="eastAsia" w:ascii="宋体" w:hAnsi="宋体" w:eastAsia="宋体" w:cs="宋体"/>
                <w:b w:val="0"/>
                <w:sz w:val="20"/>
                <w:szCs w:val="20"/>
              </w:rPr>
              <w:t>934.6</w:t>
            </w:r>
            <w:r>
              <w:rPr>
                <w:rFonts w:hint="eastAsia" w:ascii="宋体" w:hAnsi="宋体" w:eastAsia="宋体" w:cs="宋体"/>
                <w:b w:val="0"/>
                <w:sz w:val="20"/>
                <w:szCs w:val="20"/>
                <w:lang w:val="en-US" w:eastAsia="zh-CN"/>
              </w:rPr>
              <w:t>0</w:t>
            </w:r>
          </w:p>
        </w:tc>
      </w:tr>
    </w:tbl>
    <w:p w14:paraId="44F39A2C">
      <w:pPr>
        <w:pStyle w:val="5"/>
        <w:spacing w:before="150" w:after="150"/>
        <w:ind w:firstLine="482"/>
        <w:jc w:val="both"/>
      </w:pPr>
      <w:r>
        <w:rPr>
          <w:rFonts w:hint="eastAsia" w:ascii="宋体" w:hAnsi="宋体" w:eastAsia="宋体" w:cs="宋体"/>
          <w:b/>
          <w:sz w:val="20"/>
          <w:szCs w:val="20"/>
        </w:rPr>
        <w:t>四、</w:t>
      </w:r>
      <w:r>
        <w:rPr>
          <w:rFonts w:hint="eastAsia" w:ascii="宋体" w:hAnsi="宋体" w:eastAsia="宋体" w:cs="宋体"/>
          <w:b/>
          <w:bCs/>
          <w:kern w:val="2"/>
          <w:sz w:val="20"/>
          <w:szCs w:val="20"/>
          <w:lang w:eastAsia="zh-CN"/>
        </w:rPr>
        <w:t>技术依据</w:t>
      </w:r>
    </w:p>
    <w:p w14:paraId="05096EFC">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中华人民共和国测绘法（2017 年修订）；</w:t>
      </w:r>
    </w:p>
    <w:p w14:paraId="53B51CC0">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中华人民共和国土地管理法（2020 年修订）；</w:t>
      </w:r>
    </w:p>
    <w:p w14:paraId="504789C9">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《土地利用现状分类》（GB/T21010—2017）国家标准；</w:t>
      </w:r>
    </w:p>
    <w:p w14:paraId="087C7355">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《土地调查条例》（修正本）（2018 年 3 月 19 日，国务院）；</w:t>
      </w:r>
    </w:p>
    <w:p w14:paraId="5CD77F81">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《宗地编码规则（试行）》（2012，国土资源部）；</w:t>
      </w:r>
    </w:p>
    <w:p w14:paraId="55DB68A3">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《地籍数据库第1部分：不动产》（TD/T1015.1-2024）、《地籍数据库 第2部分：自然资源》（TD/T1015.2-2024）；</w:t>
      </w:r>
    </w:p>
    <w:p w14:paraId="6B8635B0">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《土地勘测定界规程》（TD/T1008--2007）；</w:t>
      </w:r>
    </w:p>
    <w:p w14:paraId="21C2D4A9">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《国家基本比例尺地图图式第1 部分：1:500、1:1000、1:2000 地形图图式》</w:t>
      </w:r>
    </w:p>
    <w:p w14:paraId="15071CB8">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（GB/T20257.1-2017）；</w:t>
      </w:r>
    </w:p>
    <w:p w14:paraId="6BCA6DFB">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《卫星定位城市测量技术规范》（CJJ/T73-2019,2019 年 11 月 1 日实施）；</w:t>
      </w:r>
    </w:p>
    <w:p w14:paraId="2A82C54D">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《城市测量规范》（CJJ T8-2011）；</w:t>
      </w:r>
    </w:p>
    <w:p w14:paraId="45E54688">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《测绘成果质量检查与验收》（GB/T24356-2023）；</w:t>
      </w:r>
    </w:p>
    <w:p w14:paraId="4B4CC5D7">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《数字测绘产品检查验收规定和质量评定》（GB/T18316—2008）；</w:t>
      </w:r>
    </w:p>
    <w:p w14:paraId="2910B0CB">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《测绘成果质量监督抽查与数据认定规定》（CH/T 1018-2009）；</w:t>
      </w:r>
    </w:p>
    <w:p w14:paraId="51FEEA2C">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《地籍调查规程》（GB/T42547-2023）国家标准；</w:t>
      </w:r>
    </w:p>
    <w:p w14:paraId="21008672">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《地籍调查规程》（DB4401/T 2-2018）地方标准；</w:t>
      </w:r>
    </w:p>
    <w:p w14:paraId="018CEA60">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《数字地图测量技术规程》(DB4401/T31-2019)；</w:t>
      </w:r>
    </w:p>
    <w:p w14:paraId="63382D0F">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《广东省城乡一体化地籍数据库标准（征求意见稿）》（广东省国土资源2014 年 11 月）；</w:t>
      </w:r>
    </w:p>
    <w:p w14:paraId="5CF74D5E">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《不动产权籍调查技术方案》（试行）；</w:t>
      </w:r>
    </w:p>
    <w:p w14:paraId="71B40D3D">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《测绘作业人员安全规范》（CH 1016-2008） ；</w:t>
      </w:r>
    </w:p>
    <w:p w14:paraId="7BF11688">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《测绘管理工作国家秘密范围的规定》（国测办字〔2003〕17 号）；</w:t>
      </w:r>
    </w:p>
    <w:p w14:paraId="312A916A">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房产测量规范第1 单元：房产测量规定( GB/T17986.1-2000) ；</w:t>
      </w:r>
    </w:p>
    <w:p w14:paraId="775AD24D">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房产测量规范第2 单元：房产图图式(GB/T17986.2-2000) ；</w:t>
      </w:r>
    </w:p>
    <w:p w14:paraId="5FD1DCDD">
      <w:pPr>
        <w:pStyle w:val="5"/>
        <w:numPr>
          <w:ilvl w:val="0"/>
          <w:numId w:val="1"/>
        </w:numP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《房屋面积测算规范》（DB4401T 5-2018）；</w:t>
      </w:r>
    </w:p>
    <w:p w14:paraId="623C9ABA">
      <w:pPr>
        <w:pStyle w:val="5"/>
        <w:numPr>
          <w:ilvl w:val="0"/>
          <w:numId w:val="1"/>
        </w:numPr>
        <w:rPr>
          <w:rFonts w:hint="eastAsia" w:ascii="宋体" w:hAnsi="宋体" w:eastAsia="宋体" w:cs="宋体"/>
          <w:b/>
          <w:sz w:val="20"/>
          <w:szCs w:val="20"/>
        </w:rPr>
      </w:pPr>
      <w:r>
        <w:rPr>
          <w:rFonts w:hint="eastAsia" w:ascii="宋体" w:hAnsi="宋体" w:eastAsia="宋体" w:cs="宋体"/>
          <w:kern w:val="2"/>
          <w:sz w:val="20"/>
          <w:szCs w:val="20"/>
          <w:lang w:val="en-US" w:eastAsia="zh-CN" w:bidi="ar-SA"/>
        </w:rPr>
        <w:t>《广州市地方技术规范地下空间产权测绘技术规范》（DBJ440100/T149-2012）；</w:t>
      </w:r>
    </w:p>
    <w:p w14:paraId="5514A364">
      <w:pPr>
        <w:numPr>
          <w:ilvl w:val="0"/>
          <w:numId w:val="0"/>
        </w:numPr>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五、项目服务人员要求</w:t>
      </w:r>
    </w:p>
    <w:p w14:paraId="1F65F262">
      <w:pPr>
        <w:numPr>
          <w:ilvl w:val="0"/>
          <w:numId w:val="0"/>
        </w:numPr>
        <w:rPr>
          <w:rFonts w:hint="eastAsia" w:ascii="宋体" w:hAnsi="宋体" w:eastAsia="宋体" w:cs="宋体"/>
          <w:b w:val="0"/>
          <w:bCs w:val="0"/>
          <w:kern w:val="2"/>
          <w:sz w:val="20"/>
          <w:szCs w:val="20"/>
          <w:lang w:val="en-US" w:eastAsia="zh-CN" w:bidi="ar-SA"/>
        </w:rPr>
      </w:pPr>
      <w:r>
        <w:rPr>
          <w:rFonts w:hint="eastAsia" w:ascii="宋体" w:hAnsi="宋体" w:eastAsia="宋体" w:cs="宋体"/>
          <w:b w:val="0"/>
          <w:bCs w:val="0"/>
          <w:kern w:val="2"/>
          <w:sz w:val="20"/>
          <w:szCs w:val="20"/>
          <w:lang w:val="en-US" w:eastAsia="zh-CN" w:bidi="ar-SA"/>
        </w:rPr>
        <w:t>1、中标人必须按投标文件承诺的人员名单落实作业与管理人员。</w:t>
      </w:r>
    </w:p>
    <w:p w14:paraId="26D6238E">
      <w:pPr>
        <w:numPr>
          <w:ilvl w:val="0"/>
          <w:numId w:val="0"/>
        </w:numPr>
        <w:rPr>
          <w:rFonts w:hint="default" w:ascii="宋体" w:hAnsi="宋体" w:eastAsia="宋体" w:cs="宋体"/>
          <w:b w:val="0"/>
          <w:bCs w:val="0"/>
          <w:kern w:val="2"/>
          <w:sz w:val="20"/>
          <w:szCs w:val="20"/>
          <w:lang w:val="en-US" w:eastAsia="zh-CN" w:bidi="ar-SA"/>
        </w:rPr>
      </w:pPr>
      <w:r>
        <w:rPr>
          <w:rFonts w:hint="eastAsia" w:ascii="宋体" w:hAnsi="宋体" w:eastAsia="宋体" w:cs="宋体"/>
          <w:b w:val="0"/>
          <w:bCs w:val="0"/>
          <w:kern w:val="2"/>
          <w:sz w:val="20"/>
          <w:szCs w:val="20"/>
          <w:lang w:val="en-US" w:eastAsia="zh-CN" w:bidi="ar-SA"/>
        </w:rPr>
        <w:t>2、</w:t>
      </w:r>
      <w:r>
        <w:rPr>
          <w:color w:val="000000"/>
          <w:sz w:val="20"/>
        </w:rPr>
        <w:t>拟投入的作业人员结构应合理，具有较强的作业能力。</w:t>
      </w:r>
    </w:p>
    <w:p w14:paraId="5BFEE0C4">
      <w:pPr>
        <w:jc w:val="both"/>
      </w:pPr>
      <w:r>
        <w:rPr>
          <w:rFonts w:hint="eastAsia" w:ascii="宋体" w:hAnsi="宋体" w:eastAsia="宋体" w:cs="宋体"/>
          <w:b/>
          <w:bCs/>
          <w:kern w:val="2"/>
          <w:sz w:val="20"/>
          <w:szCs w:val="20"/>
          <w:lang w:val="en-US" w:eastAsia="zh-CN" w:bidi="ar-SA"/>
        </w:rPr>
        <w:t>3、</w:t>
      </w:r>
      <w:r>
        <w:rPr>
          <w:sz w:val="21"/>
        </w:rPr>
        <w:t>中标公示结束3个工作日内，如无异议，应迅速组织工作人员进场，采购人也将按照程序尽快与中标人签订合同。</w:t>
      </w:r>
    </w:p>
    <w:p w14:paraId="064D75F3">
      <w:pPr>
        <w:jc w:val="both"/>
      </w:pPr>
      <w:r>
        <w:rPr>
          <w:rFonts w:hint="eastAsia"/>
          <w:sz w:val="21"/>
          <w:lang w:val="en-US" w:eastAsia="zh-CN"/>
        </w:rPr>
        <w:t>4</w:t>
      </w:r>
      <w:r>
        <w:rPr>
          <w:sz w:val="21"/>
        </w:rPr>
        <w:t>、项目除有项目负责人外，还必须设置专门的技术负责人、内业负责人。</w:t>
      </w:r>
    </w:p>
    <w:p w14:paraId="5FF49260">
      <w:pPr>
        <w:pStyle w:val="5"/>
        <w:jc w:val="left"/>
        <w:rPr>
          <w:sz w:val="21"/>
        </w:rPr>
      </w:pPr>
      <w:r>
        <w:rPr>
          <w:rFonts w:hint="eastAsia" w:ascii="宋体" w:hAnsi="宋体" w:eastAsia="宋体" w:cs="宋体"/>
          <w:b w:val="0"/>
          <w:bCs w:val="0"/>
          <w:kern w:val="2"/>
          <w:sz w:val="20"/>
          <w:szCs w:val="20"/>
          <w:lang w:val="en-US" w:eastAsia="zh-CN" w:bidi="ar-SA"/>
        </w:rPr>
        <w:t>5、</w:t>
      </w:r>
      <w:r>
        <w:rPr>
          <w:sz w:val="21"/>
        </w:rPr>
        <w:t>在项目执行期间，在投标文件中填报的项目负责人、技术负责人及内业负责人未经采购人书面同意，若非不可抗拒因素不得更换；在投标文件中填报的常驻技术人员不得随意变动，如确需更改须征得采购人的书面同意，并且在项目执行期间，变动数量不超过技术人员总数的 20％。</w:t>
      </w:r>
    </w:p>
    <w:p w14:paraId="560F7EC6">
      <w:pPr>
        <w:pStyle w:val="5"/>
        <w:jc w:val="left"/>
        <w:rPr>
          <w:rFonts w:hint="eastAsia"/>
          <w:sz w:val="21"/>
          <w:lang w:val="en-US" w:eastAsia="zh-CN"/>
        </w:rPr>
      </w:pPr>
      <w:r>
        <w:rPr>
          <w:rFonts w:hint="eastAsia"/>
          <w:sz w:val="21"/>
          <w:lang w:val="en-US" w:eastAsia="zh-CN"/>
        </w:rPr>
        <w:t>6、拟投入项目人员要求</w:t>
      </w:r>
    </w:p>
    <w:tbl>
      <w:tblPr>
        <w:tblStyle w:val="3"/>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5"/>
        <w:gridCol w:w="1396"/>
        <w:gridCol w:w="1000"/>
        <w:gridCol w:w="1688"/>
        <w:gridCol w:w="3506"/>
      </w:tblGrid>
      <w:tr w14:paraId="45CF9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EAE299">
            <w:pPr>
              <w:pStyle w:val="5"/>
              <w:jc w:val="center"/>
            </w:pPr>
            <w:r>
              <w:rPr>
                <w:b/>
                <w:sz w:val="21"/>
              </w:rPr>
              <w:t>序号</w:t>
            </w:r>
          </w:p>
        </w:tc>
        <w:tc>
          <w:tcPr>
            <w:tcW w:w="13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B955BC">
            <w:pPr>
              <w:pStyle w:val="5"/>
              <w:jc w:val="center"/>
            </w:pPr>
            <w:r>
              <w:rPr>
                <w:b/>
                <w:sz w:val="21"/>
              </w:rPr>
              <w:t>工作组织</w:t>
            </w:r>
          </w:p>
        </w:tc>
        <w:tc>
          <w:tcPr>
            <w:tcW w:w="10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7A2453">
            <w:pPr>
              <w:pStyle w:val="5"/>
              <w:jc w:val="center"/>
            </w:pPr>
            <w:r>
              <w:rPr>
                <w:b/>
                <w:sz w:val="21"/>
              </w:rPr>
              <w:t>人数</w:t>
            </w:r>
          </w:p>
        </w:tc>
        <w:tc>
          <w:tcPr>
            <w:tcW w:w="16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D3A0E1">
            <w:pPr>
              <w:pStyle w:val="5"/>
              <w:jc w:val="center"/>
            </w:pPr>
            <w:r>
              <w:rPr>
                <w:b/>
                <w:sz w:val="21"/>
              </w:rPr>
              <w:t>工作内容</w:t>
            </w:r>
          </w:p>
        </w:tc>
        <w:tc>
          <w:tcPr>
            <w:tcW w:w="35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FC0ADF">
            <w:pPr>
              <w:pStyle w:val="5"/>
              <w:jc w:val="center"/>
            </w:pPr>
            <w:r>
              <w:rPr>
                <w:b/>
                <w:sz w:val="21"/>
              </w:rPr>
              <w:t>人员资质最低要求</w:t>
            </w:r>
          </w:p>
        </w:tc>
      </w:tr>
      <w:tr w14:paraId="016F9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8D074">
            <w:pPr>
              <w:pStyle w:val="5"/>
              <w:jc w:val="center"/>
            </w:pPr>
            <w:r>
              <w:rPr>
                <w:sz w:val="21"/>
              </w:rPr>
              <w:t>1</w:t>
            </w:r>
          </w:p>
        </w:tc>
        <w:tc>
          <w:tcPr>
            <w:tcW w:w="13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2B8FBD">
            <w:pPr>
              <w:pStyle w:val="5"/>
              <w:jc w:val="center"/>
            </w:pPr>
            <w:r>
              <w:rPr>
                <w:sz w:val="21"/>
              </w:rPr>
              <w:t>项目负责人</w:t>
            </w:r>
          </w:p>
        </w:tc>
        <w:tc>
          <w:tcPr>
            <w:tcW w:w="10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EBE9C">
            <w:pPr>
              <w:pStyle w:val="5"/>
              <w:jc w:val="center"/>
            </w:pPr>
            <w:r>
              <w:rPr>
                <w:sz w:val="21"/>
              </w:rPr>
              <w:t>1人</w:t>
            </w:r>
          </w:p>
        </w:tc>
        <w:tc>
          <w:tcPr>
            <w:tcW w:w="16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873F3">
            <w:pPr>
              <w:pStyle w:val="5"/>
              <w:jc w:val="center"/>
            </w:pPr>
            <w:r>
              <w:rPr>
                <w:sz w:val="21"/>
              </w:rPr>
              <w:t>统筹项目总体推进</w:t>
            </w:r>
          </w:p>
        </w:tc>
        <w:tc>
          <w:tcPr>
            <w:tcW w:w="35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45824">
            <w:pPr>
              <w:pStyle w:val="5"/>
              <w:jc w:val="center"/>
            </w:pPr>
            <w:r>
              <w:rPr>
                <w:sz w:val="21"/>
              </w:rPr>
              <w:t>具有测绘专业</w:t>
            </w:r>
            <w:r>
              <w:rPr>
                <w:rFonts w:hint="eastAsia"/>
                <w:sz w:val="21"/>
                <w:lang w:val="en-US" w:eastAsia="zh-CN"/>
              </w:rPr>
              <w:t>高</w:t>
            </w:r>
            <w:r>
              <w:rPr>
                <w:sz w:val="21"/>
              </w:rPr>
              <w:t>级（或以上）工程师职称和注册测绘师资格</w:t>
            </w:r>
          </w:p>
        </w:tc>
      </w:tr>
      <w:tr w14:paraId="352171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D031B">
            <w:pPr>
              <w:pStyle w:val="5"/>
              <w:jc w:val="center"/>
            </w:pPr>
            <w:r>
              <w:rPr>
                <w:sz w:val="21"/>
              </w:rPr>
              <w:t>2</w:t>
            </w:r>
          </w:p>
        </w:tc>
        <w:tc>
          <w:tcPr>
            <w:tcW w:w="13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81CFE9">
            <w:pPr>
              <w:pStyle w:val="5"/>
              <w:jc w:val="center"/>
            </w:pPr>
            <w:r>
              <w:rPr>
                <w:sz w:val="21"/>
              </w:rPr>
              <w:t>其他技术人员</w:t>
            </w:r>
          </w:p>
        </w:tc>
        <w:tc>
          <w:tcPr>
            <w:tcW w:w="10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4778C8">
            <w:pPr>
              <w:pStyle w:val="5"/>
              <w:jc w:val="center"/>
            </w:pPr>
            <w:r>
              <w:rPr>
                <w:sz w:val="21"/>
              </w:rPr>
              <w:t>不少于10人</w:t>
            </w:r>
          </w:p>
        </w:tc>
        <w:tc>
          <w:tcPr>
            <w:tcW w:w="16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D336B">
            <w:pPr>
              <w:pStyle w:val="5"/>
              <w:jc w:val="center"/>
            </w:pPr>
            <w:r>
              <w:rPr>
                <w:sz w:val="21"/>
              </w:rPr>
              <w:t>项目具体实施</w:t>
            </w:r>
          </w:p>
        </w:tc>
        <w:tc>
          <w:tcPr>
            <w:tcW w:w="350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A4CCA">
            <w:pPr>
              <w:pStyle w:val="5"/>
              <w:jc w:val="both"/>
            </w:pPr>
            <w:r>
              <w:rPr>
                <w:sz w:val="21"/>
              </w:rPr>
              <w:t>①具有测绘专业中级（或以上）工程师职称和注册测绘师资格；②具有《地理信息安全保密培训合格证明》。</w:t>
            </w:r>
          </w:p>
        </w:tc>
      </w:tr>
    </w:tbl>
    <w:p w14:paraId="3F3183D9">
      <w:pPr>
        <w:numPr>
          <w:ilvl w:val="0"/>
          <w:numId w:val="0"/>
        </w:numPr>
        <w:rPr>
          <w:rFonts w:hint="default" w:ascii="宋体" w:hAnsi="宋体" w:eastAsia="宋体" w:cs="宋体"/>
          <w:b/>
          <w:bCs/>
          <w:kern w:val="2"/>
          <w:sz w:val="20"/>
          <w:szCs w:val="20"/>
          <w:lang w:val="en-US" w:eastAsia="zh-CN" w:bidi="ar-SA"/>
        </w:rPr>
      </w:pPr>
      <w:bookmarkStart w:id="1" w:name="_GoBack"/>
      <w:bookmarkEnd w:id="1"/>
    </w:p>
    <w:p w14:paraId="0596C502">
      <w:pPr>
        <w:numPr>
          <w:ilvl w:val="0"/>
          <w:numId w:val="0"/>
        </w:numPr>
        <w:rPr>
          <w:rFonts w:hint="eastAsia" w:ascii="宋体" w:hAnsi="宋体" w:eastAsia="宋体" w:cs="宋体"/>
          <w:b/>
          <w:bCs/>
          <w:sz w:val="20"/>
          <w:szCs w:val="20"/>
          <w:highlight w:val="none"/>
        </w:rPr>
      </w:pPr>
      <w:r>
        <w:rPr>
          <w:rFonts w:hint="eastAsia" w:ascii="宋体" w:hAnsi="宋体" w:eastAsia="宋体" w:cs="宋体"/>
          <w:b/>
          <w:bCs/>
          <w:sz w:val="20"/>
          <w:szCs w:val="20"/>
          <w:highlight w:val="none"/>
          <w:lang w:val="en-US" w:eastAsia="zh-CN"/>
        </w:rPr>
        <w:t>六、支付方式</w:t>
      </w:r>
    </w:p>
    <w:p w14:paraId="7312192F">
      <w:pPr>
        <w:pStyle w:val="5"/>
        <w:spacing w:line="360" w:lineRule="auto"/>
        <w:ind w:firstLine="420"/>
        <w:rPr>
          <w:rFonts w:hint="eastAsia" w:eastAsia="宋体"/>
          <w:sz w:val="21"/>
          <w:lang w:eastAsia="zh-CN"/>
        </w:rPr>
      </w:pPr>
      <w:r>
        <w:rPr>
          <w:rFonts w:eastAsia="宋体"/>
          <w:sz w:val="21"/>
          <w:lang w:eastAsia="zh-CN"/>
        </w:rPr>
        <w:t>本项目采用按工作进度</w:t>
      </w:r>
      <w:r>
        <w:rPr>
          <w:rFonts w:eastAsia="宋体"/>
          <w:sz w:val="21"/>
          <w:lang w:eastAsia="zh-CN"/>
        </w:rPr>
        <w:t>以</w:t>
      </w:r>
      <w:r>
        <w:rPr>
          <w:rFonts w:eastAsia="宋体"/>
          <w:sz w:val="21"/>
          <w:lang w:eastAsia="zh-CN"/>
        </w:rPr>
        <w:t>分批分期</w:t>
      </w:r>
      <w:r>
        <w:rPr>
          <w:rFonts w:eastAsia="宋体"/>
          <w:sz w:val="21"/>
          <w:lang w:eastAsia="zh-CN"/>
        </w:rPr>
        <w:t>支付的方式支付技术服务费用，</w:t>
      </w:r>
      <w:r>
        <w:rPr>
          <w:rFonts w:hint="eastAsia" w:eastAsia="宋体"/>
          <w:sz w:val="21"/>
          <w:lang w:eastAsia="zh-CN"/>
        </w:rPr>
        <w:t>中标人</w:t>
      </w:r>
      <w:r>
        <w:rPr>
          <w:rFonts w:eastAsia="宋体"/>
          <w:sz w:val="21"/>
          <w:lang w:eastAsia="zh-CN"/>
        </w:rPr>
        <w:t>可在工作取得一定进展后按季度请款或在与</w:t>
      </w:r>
      <w:r>
        <w:rPr>
          <w:rFonts w:hint="eastAsia" w:eastAsia="宋体"/>
          <w:sz w:val="21"/>
          <w:lang w:eastAsia="zh-CN"/>
        </w:rPr>
        <w:t>采购人</w:t>
      </w:r>
      <w:r>
        <w:rPr>
          <w:rFonts w:eastAsia="宋体"/>
          <w:sz w:val="21"/>
          <w:lang w:eastAsia="zh-CN"/>
        </w:rPr>
        <w:t>协商一致的时间节点向</w:t>
      </w:r>
      <w:r>
        <w:rPr>
          <w:rFonts w:hint="eastAsia" w:eastAsia="宋体"/>
          <w:sz w:val="21"/>
          <w:lang w:eastAsia="zh-CN"/>
        </w:rPr>
        <w:t>采购人</w:t>
      </w:r>
      <w:r>
        <w:rPr>
          <w:rFonts w:eastAsia="宋体"/>
          <w:sz w:val="21"/>
          <w:lang w:eastAsia="zh-CN"/>
        </w:rPr>
        <w:t>请款。</w:t>
      </w:r>
      <w:r>
        <w:rPr>
          <w:rFonts w:hint="eastAsia" w:eastAsia="宋体"/>
          <w:sz w:val="21"/>
          <w:lang w:eastAsia="zh-CN"/>
        </w:rPr>
        <w:t>中标人</w:t>
      </w:r>
      <w:r>
        <w:rPr>
          <w:rFonts w:eastAsia="宋体"/>
          <w:sz w:val="21"/>
          <w:lang w:eastAsia="zh-CN"/>
        </w:rPr>
        <w:t>向</w:t>
      </w:r>
      <w:r>
        <w:rPr>
          <w:rFonts w:hint="eastAsia" w:eastAsia="宋体"/>
          <w:sz w:val="21"/>
          <w:lang w:eastAsia="zh-CN"/>
        </w:rPr>
        <w:t>采购人</w:t>
      </w:r>
      <w:r>
        <w:rPr>
          <w:rFonts w:eastAsia="宋体"/>
          <w:sz w:val="21"/>
          <w:lang w:eastAsia="zh-CN"/>
        </w:rPr>
        <w:t>要求支付各项款项前，均应向</w:t>
      </w:r>
      <w:r>
        <w:rPr>
          <w:rFonts w:hint="eastAsia" w:eastAsia="宋体"/>
          <w:sz w:val="21"/>
          <w:lang w:eastAsia="zh-CN"/>
        </w:rPr>
        <w:t>采购人</w:t>
      </w:r>
      <w:r>
        <w:rPr>
          <w:rFonts w:eastAsia="宋体"/>
          <w:sz w:val="21"/>
          <w:lang w:eastAsia="zh-CN"/>
        </w:rPr>
        <w:t>提供广州市海珠区财政局认可的合法等额票据。</w:t>
      </w:r>
    </w:p>
    <w:p w14:paraId="185D2706">
      <w:pPr>
        <w:pStyle w:val="5"/>
        <w:spacing w:line="360" w:lineRule="auto"/>
        <w:ind w:firstLine="420"/>
        <w:rPr>
          <w:rFonts w:hint="eastAsia" w:eastAsia="宋体"/>
          <w:sz w:val="21"/>
          <w:lang w:eastAsia="zh-CN"/>
        </w:rPr>
      </w:pPr>
      <w:r>
        <w:rPr>
          <w:rFonts w:eastAsia="宋体"/>
          <w:sz w:val="21"/>
          <w:lang w:eastAsia="zh-CN"/>
        </w:rPr>
        <w:t>（</w:t>
      </w:r>
      <w:r>
        <w:rPr>
          <w:rFonts w:hint="eastAsia" w:eastAsia="宋体"/>
          <w:sz w:val="21"/>
          <w:lang w:eastAsia="zh-CN"/>
        </w:rPr>
        <w:t>1</w:t>
      </w:r>
      <w:r>
        <w:rPr>
          <w:rFonts w:eastAsia="宋体"/>
          <w:sz w:val="21"/>
          <w:lang w:eastAsia="zh-CN"/>
        </w:rPr>
        <w:t>）</w:t>
      </w:r>
      <w:r>
        <w:rPr>
          <w:rFonts w:hint="eastAsia" w:eastAsia="宋体"/>
          <w:sz w:val="21"/>
          <w:lang w:eastAsia="zh-CN"/>
        </w:rPr>
        <w:t>采购人</w:t>
      </w:r>
      <w:r>
        <w:rPr>
          <w:rFonts w:eastAsia="宋体"/>
          <w:sz w:val="21"/>
          <w:lang w:eastAsia="zh-CN"/>
        </w:rPr>
        <w:t>和</w:t>
      </w:r>
      <w:r>
        <w:rPr>
          <w:rFonts w:hint="eastAsia" w:eastAsia="宋体"/>
          <w:sz w:val="21"/>
          <w:lang w:eastAsia="zh-CN"/>
        </w:rPr>
        <w:t>中标人</w:t>
      </w:r>
      <w:r>
        <w:rPr>
          <w:rFonts w:eastAsia="宋体"/>
          <w:sz w:val="21"/>
          <w:lang w:eastAsia="zh-CN"/>
        </w:rPr>
        <w:t>签订合同，且在</w:t>
      </w:r>
      <w:r>
        <w:rPr>
          <w:rFonts w:hint="eastAsia" w:eastAsia="宋体"/>
          <w:sz w:val="21"/>
          <w:lang w:eastAsia="zh-CN"/>
        </w:rPr>
        <w:t>采购人</w:t>
      </w:r>
      <w:r>
        <w:rPr>
          <w:rFonts w:eastAsia="宋体"/>
          <w:sz w:val="21"/>
          <w:lang w:eastAsia="zh-CN"/>
        </w:rPr>
        <w:t>收到</w:t>
      </w:r>
      <w:r>
        <w:rPr>
          <w:rFonts w:hint="eastAsia" w:eastAsia="宋体"/>
          <w:sz w:val="21"/>
          <w:lang w:eastAsia="zh-CN"/>
        </w:rPr>
        <w:t>中标人</w:t>
      </w:r>
      <w:r>
        <w:rPr>
          <w:rFonts w:eastAsia="宋体"/>
          <w:sz w:val="21"/>
          <w:lang w:eastAsia="zh-CN"/>
        </w:rPr>
        <w:t>请款资料及发票后的</w:t>
      </w:r>
      <w:r>
        <w:rPr>
          <w:rFonts w:hint="eastAsia" w:eastAsia="宋体"/>
          <w:sz w:val="21"/>
          <w:lang w:eastAsia="zh-CN"/>
        </w:rPr>
        <w:t>5</w:t>
      </w:r>
      <w:r>
        <w:rPr>
          <w:rFonts w:eastAsia="宋体"/>
          <w:sz w:val="21"/>
          <w:lang w:eastAsia="zh-CN"/>
        </w:rPr>
        <w:t>个工作日内，</w:t>
      </w:r>
      <w:r>
        <w:rPr>
          <w:rFonts w:hint="eastAsia" w:eastAsia="宋体"/>
          <w:sz w:val="21"/>
          <w:lang w:eastAsia="zh-CN"/>
        </w:rPr>
        <w:t>采购人</w:t>
      </w:r>
      <w:r>
        <w:rPr>
          <w:rFonts w:eastAsia="宋体"/>
          <w:sz w:val="21"/>
          <w:lang w:eastAsia="zh-CN"/>
        </w:rPr>
        <w:t>向</w:t>
      </w:r>
      <w:r>
        <w:rPr>
          <w:rFonts w:hint="eastAsia" w:eastAsia="宋体"/>
          <w:sz w:val="21"/>
          <w:lang w:eastAsia="zh-CN"/>
        </w:rPr>
        <w:t>中标人</w:t>
      </w:r>
      <w:r>
        <w:rPr>
          <w:rFonts w:eastAsia="宋体"/>
          <w:sz w:val="21"/>
          <w:lang w:eastAsia="zh-CN"/>
        </w:rPr>
        <w:t>支付合同总价</w:t>
      </w:r>
      <w:r>
        <w:rPr>
          <w:rFonts w:eastAsia="宋体"/>
          <w:sz w:val="21"/>
          <w:lang w:eastAsia="zh-CN"/>
        </w:rPr>
        <w:t>的</w:t>
      </w:r>
      <w:r>
        <w:rPr>
          <w:rFonts w:hint="eastAsia" w:eastAsia="宋体"/>
          <w:sz w:val="21"/>
          <w:lang w:eastAsia="zh-CN"/>
        </w:rPr>
        <w:t>20%</w:t>
      </w:r>
      <w:r>
        <w:rPr>
          <w:rFonts w:eastAsia="宋体"/>
          <w:sz w:val="21"/>
          <w:lang w:eastAsia="zh-CN"/>
        </w:rPr>
        <w:t>。</w:t>
      </w:r>
    </w:p>
    <w:p w14:paraId="48AEC9E6">
      <w:pPr>
        <w:pStyle w:val="5"/>
        <w:spacing w:line="360" w:lineRule="auto"/>
        <w:ind w:firstLine="420"/>
        <w:rPr>
          <w:rFonts w:hint="eastAsia" w:eastAsia="宋体"/>
          <w:sz w:val="21"/>
          <w:lang w:eastAsia="zh-CN"/>
        </w:rPr>
      </w:pPr>
      <w:r>
        <w:rPr>
          <w:rFonts w:eastAsia="宋体"/>
          <w:sz w:val="21"/>
          <w:lang w:eastAsia="zh-CN"/>
        </w:rPr>
        <w:t>（</w:t>
      </w:r>
      <w:r>
        <w:rPr>
          <w:rFonts w:hint="eastAsia" w:eastAsia="宋体"/>
          <w:sz w:val="21"/>
          <w:lang w:eastAsia="zh-CN"/>
        </w:rPr>
        <w:t>2</w:t>
      </w:r>
      <w:r>
        <w:rPr>
          <w:rFonts w:eastAsia="宋体"/>
          <w:sz w:val="21"/>
          <w:lang w:eastAsia="zh-CN"/>
        </w:rPr>
        <w:t>）</w:t>
      </w:r>
      <w:r>
        <w:rPr>
          <w:rFonts w:hint="eastAsia" w:eastAsia="宋体"/>
          <w:sz w:val="21"/>
          <w:lang w:eastAsia="zh-CN"/>
        </w:rPr>
        <w:t>中标人</w:t>
      </w:r>
      <w:r>
        <w:rPr>
          <w:rFonts w:eastAsia="宋体"/>
          <w:sz w:val="21"/>
          <w:lang w:eastAsia="zh-CN"/>
        </w:rPr>
        <w:t>分批提交已完成的初步成果资料，经</w:t>
      </w:r>
      <w:r>
        <w:rPr>
          <w:rFonts w:hint="eastAsia" w:eastAsia="宋体"/>
          <w:sz w:val="21"/>
          <w:lang w:eastAsia="zh-CN"/>
        </w:rPr>
        <w:t>采购人</w:t>
      </w:r>
      <w:r>
        <w:rPr>
          <w:rFonts w:eastAsia="宋体"/>
          <w:sz w:val="21"/>
          <w:lang w:eastAsia="zh-CN"/>
        </w:rPr>
        <w:t>审核确认后，且在</w:t>
      </w:r>
      <w:r>
        <w:rPr>
          <w:rFonts w:hint="eastAsia" w:eastAsia="宋体"/>
          <w:sz w:val="21"/>
          <w:lang w:eastAsia="zh-CN"/>
        </w:rPr>
        <w:t>中标人</w:t>
      </w:r>
      <w:r>
        <w:rPr>
          <w:rFonts w:eastAsia="宋体"/>
          <w:sz w:val="21"/>
          <w:lang w:eastAsia="zh-CN"/>
        </w:rPr>
        <w:t>提交请款资料及发票后的</w:t>
      </w:r>
      <w:r>
        <w:rPr>
          <w:rFonts w:hint="eastAsia" w:eastAsia="宋体"/>
          <w:sz w:val="21"/>
          <w:lang w:eastAsia="zh-CN"/>
        </w:rPr>
        <w:t>5</w:t>
      </w:r>
      <w:r>
        <w:rPr>
          <w:rFonts w:eastAsia="宋体"/>
          <w:sz w:val="21"/>
          <w:lang w:eastAsia="zh-CN"/>
        </w:rPr>
        <w:t>个工作日内，</w:t>
      </w:r>
      <w:r>
        <w:rPr>
          <w:rFonts w:hint="eastAsia" w:eastAsia="宋体"/>
          <w:sz w:val="21"/>
          <w:lang w:eastAsia="zh-CN"/>
        </w:rPr>
        <w:t>采购人</w:t>
      </w:r>
      <w:r>
        <w:rPr>
          <w:rFonts w:eastAsia="宋体"/>
          <w:sz w:val="21"/>
          <w:lang w:eastAsia="zh-CN"/>
        </w:rPr>
        <w:t>向</w:t>
      </w:r>
      <w:r>
        <w:rPr>
          <w:rFonts w:hint="eastAsia" w:eastAsia="宋体"/>
          <w:sz w:val="21"/>
          <w:lang w:eastAsia="zh-CN"/>
        </w:rPr>
        <w:t>中标人</w:t>
      </w:r>
      <w:r>
        <w:rPr>
          <w:rFonts w:eastAsia="宋体"/>
          <w:sz w:val="21"/>
          <w:lang w:eastAsia="zh-CN"/>
        </w:rPr>
        <w:t>支付对应成果内容费用的</w:t>
      </w:r>
      <w:r>
        <w:rPr>
          <w:rFonts w:hint="eastAsia" w:eastAsia="宋体"/>
          <w:sz w:val="21"/>
          <w:lang w:eastAsia="zh-CN"/>
        </w:rPr>
        <w:t>40%</w:t>
      </w:r>
      <w:r>
        <w:rPr>
          <w:rFonts w:eastAsia="宋体"/>
          <w:sz w:val="21"/>
          <w:lang w:eastAsia="zh-CN"/>
        </w:rPr>
        <w:t>。</w:t>
      </w:r>
    </w:p>
    <w:p w14:paraId="748469A6">
      <w:pPr>
        <w:pStyle w:val="5"/>
        <w:spacing w:line="360" w:lineRule="auto"/>
        <w:ind w:firstLine="420"/>
        <w:rPr>
          <w:rFonts w:hint="eastAsia" w:eastAsia="宋体"/>
          <w:sz w:val="21"/>
          <w:lang w:eastAsia="zh-CN"/>
        </w:rPr>
      </w:pPr>
      <w:r>
        <w:rPr>
          <w:rFonts w:eastAsia="宋体"/>
          <w:sz w:val="21"/>
          <w:lang w:eastAsia="zh-CN"/>
        </w:rPr>
        <w:t>（</w:t>
      </w:r>
      <w:r>
        <w:rPr>
          <w:rFonts w:hint="eastAsia" w:eastAsia="宋体"/>
          <w:sz w:val="21"/>
          <w:lang w:eastAsia="zh-CN"/>
        </w:rPr>
        <w:t>3</w:t>
      </w:r>
      <w:r>
        <w:rPr>
          <w:rFonts w:eastAsia="宋体"/>
          <w:sz w:val="21"/>
          <w:lang w:eastAsia="zh-CN"/>
        </w:rPr>
        <w:t>）</w:t>
      </w:r>
      <w:r>
        <w:rPr>
          <w:rFonts w:hint="eastAsia" w:eastAsia="宋体"/>
          <w:sz w:val="21"/>
          <w:lang w:eastAsia="zh-CN"/>
        </w:rPr>
        <w:t>中标人</w:t>
      </w:r>
      <w:r>
        <w:rPr>
          <w:rFonts w:eastAsia="宋体"/>
          <w:sz w:val="21"/>
          <w:lang w:eastAsia="zh-CN"/>
        </w:rPr>
        <w:t>分批提交已完成的正式成果资料，经</w:t>
      </w:r>
      <w:r>
        <w:rPr>
          <w:rFonts w:hint="eastAsia" w:eastAsia="宋体"/>
          <w:sz w:val="21"/>
          <w:lang w:eastAsia="zh-CN"/>
        </w:rPr>
        <w:t>采购人</w:t>
      </w:r>
      <w:r>
        <w:rPr>
          <w:rFonts w:eastAsia="宋体"/>
          <w:sz w:val="21"/>
          <w:lang w:eastAsia="zh-CN"/>
        </w:rPr>
        <w:t>审核确认后，且在</w:t>
      </w:r>
      <w:r>
        <w:rPr>
          <w:rFonts w:hint="eastAsia" w:eastAsia="宋体"/>
          <w:sz w:val="21"/>
          <w:lang w:eastAsia="zh-CN"/>
        </w:rPr>
        <w:t>中标人</w:t>
      </w:r>
      <w:r>
        <w:rPr>
          <w:rFonts w:eastAsia="宋体"/>
          <w:sz w:val="21"/>
          <w:lang w:eastAsia="zh-CN"/>
        </w:rPr>
        <w:t>提交请款资料及发票后的</w:t>
      </w:r>
      <w:r>
        <w:rPr>
          <w:rFonts w:hint="eastAsia" w:eastAsia="宋体"/>
          <w:sz w:val="21"/>
          <w:lang w:eastAsia="zh-CN"/>
        </w:rPr>
        <w:t>5</w:t>
      </w:r>
      <w:r>
        <w:rPr>
          <w:rFonts w:eastAsia="宋体"/>
          <w:sz w:val="21"/>
          <w:lang w:eastAsia="zh-CN"/>
        </w:rPr>
        <w:t>个工作日内，</w:t>
      </w:r>
      <w:r>
        <w:rPr>
          <w:rFonts w:hint="eastAsia" w:eastAsia="宋体"/>
          <w:sz w:val="21"/>
          <w:lang w:eastAsia="zh-CN"/>
        </w:rPr>
        <w:t>采购人</w:t>
      </w:r>
      <w:r>
        <w:rPr>
          <w:rFonts w:eastAsia="宋体"/>
          <w:sz w:val="21"/>
          <w:lang w:eastAsia="zh-CN"/>
        </w:rPr>
        <w:t>向</w:t>
      </w:r>
      <w:r>
        <w:rPr>
          <w:rFonts w:hint="eastAsia" w:eastAsia="宋体"/>
          <w:sz w:val="21"/>
          <w:lang w:eastAsia="zh-CN"/>
        </w:rPr>
        <w:t>中标人</w:t>
      </w:r>
      <w:r>
        <w:rPr>
          <w:rFonts w:eastAsia="宋体"/>
          <w:sz w:val="21"/>
          <w:lang w:eastAsia="zh-CN"/>
        </w:rPr>
        <w:t>支付对应成果内容费用的</w:t>
      </w:r>
      <w:r>
        <w:rPr>
          <w:rFonts w:hint="eastAsia" w:eastAsia="宋体"/>
          <w:sz w:val="21"/>
          <w:lang w:eastAsia="zh-CN"/>
        </w:rPr>
        <w:t>20%</w:t>
      </w:r>
      <w:r>
        <w:rPr>
          <w:rFonts w:eastAsia="宋体"/>
          <w:sz w:val="21"/>
          <w:lang w:eastAsia="zh-CN"/>
        </w:rPr>
        <w:t>。</w:t>
      </w:r>
    </w:p>
    <w:p w14:paraId="215CD29B">
      <w:pPr>
        <w:pStyle w:val="5"/>
        <w:spacing w:line="360" w:lineRule="auto"/>
        <w:ind w:firstLine="420"/>
        <w:rPr>
          <w:rFonts w:hint="eastAsia" w:eastAsia="宋体"/>
          <w:sz w:val="21"/>
          <w:lang w:eastAsia="zh-CN"/>
        </w:rPr>
      </w:pPr>
      <w:r>
        <w:rPr>
          <w:rFonts w:eastAsia="宋体"/>
          <w:sz w:val="21"/>
          <w:lang w:eastAsia="zh-CN"/>
        </w:rPr>
        <w:t>（</w:t>
      </w:r>
      <w:r>
        <w:rPr>
          <w:rFonts w:hint="eastAsia" w:eastAsia="宋体"/>
          <w:sz w:val="21"/>
          <w:lang w:eastAsia="zh-CN"/>
        </w:rPr>
        <w:t>4</w:t>
      </w:r>
      <w:r>
        <w:rPr>
          <w:rFonts w:eastAsia="宋体"/>
          <w:sz w:val="21"/>
          <w:lang w:eastAsia="zh-CN"/>
        </w:rPr>
        <w:t>）</w:t>
      </w:r>
      <w:r>
        <w:rPr>
          <w:rFonts w:hint="eastAsia" w:eastAsia="宋体"/>
          <w:sz w:val="21"/>
          <w:lang w:eastAsia="zh-CN"/>
        </w:rPr>
        <w:t>中标人</w:t>
      </w:r>
      <w:r>
        <w:rPr>
          <w:rFonts w:eastAsia="宋体"/>
          <w:sz w:val="21"/>
          <w:lang w:eastAsia="zh-CN"/>
        </w:rPr>
        <w:t>提交各子项正式成果经过</w:t>
      </w:r>
      <w:r>
        <w:rPr>
          <w:rFonts w:hint="eastAsia" w:eastAsia="宋体"/>
          <w:sz w:val="21"/>
          <w:lang w:eastAsia="zh-CN"/>
        </w:rPr>
        <w:t>采购人</w:t>
      </w:r>
      <w:r>
        <w:rPr>
          <w:rFonts w:eastAsia="宋体"/>
          <w:sz w:val="21"/>
          <w:lang w:eastAsia="zh-CN"/>
        </w:rPr>
        <w:t>确认、或完成签订征拆补偿协议、或收到报批批复等可以证明该子项相关测绘工作顺利完成后，且在</w:t>
      </w:r>
      <w:r>
        <w:rPr>
          <w:rFonts w:hint="eastAsia" w:eastAsia="宋体"/>
          <w:sz w:val="21"/>
          <w:lang w:eastAsia="zh-CN"/>
        </w:rPr>
        <w:t>中标人</w:t>
      </w:r>
      <w:r>
        <w:rPr>
          <w:rFonts w:eastAsia="宋体"/>
          <w:sz w:val="21"/>
          <w:lang w:eastAsia="zh-CN"/>
        </w:rPr>
        <w:t>提交请款资料及发票后的5个工作日内，</w:t>
      </w:r>
      <w:r>
        <w:rPr>
          <w:rFonts w:hint="eastAsia" w:eastAsia="宋体"/>
          <w:sz w:val="21"/>
          <w:lang w:eastAsia="zh-CN"/>
        </w:rPr>
        <w:t>采购人</w:t>
      </w:r>
      <w:r>
        <w:rPr>
          <w:rFonts w:eastAsia="宋体"/>
          <w:sz w:val="21"/>
          <w:lang w:eastAsia="zh-CN"/>
        </w:rPr>
        <w:t>向</w:t>
      </w:r>
      <w:r>
        <w:rPr>
          <w:rFonts w:hint="eastAsia" w:eastAsia="宋体"/>
          <w:sz w:val="21"/>
          <w:lang w:eastAsia="zh-CN"/>
        </w:rPr>
        <w:t>中标人</w:t>
      </w:r>
      <w:r>
        <w:rPr>
          <w:rFonts w:eastAsia="宋体"/>
          <w:sz w:val="21"/>
          <w:lang w:eastAsia="zh-CN"/>
        </w:rPr>
        <w:t>支付对应成果内容费用的</w:t>
      </w:r>
      <w:r>
        <w:rPr>
          <w:rFonts w:hint="eastAsia" w:eastAsia="宋体"/>
          <w:sz w:val="21"/>
          <w:lang w:eastAsia="zh-CN"/>
        </w:rPr>
        <w:t>20%</w:t>
      </w:r>
      <w:r>
        <w:rPr>
          <w:rFonts w:eastAsia="宋体"/>
          <w:sz w:val="21"/>
          <w:lang w:eastAsia="zh-CN"/>
        </w:rPr>
        <w:t>尾款。</w:t>
      </w:r>
    </w:p>
    <w:p w14:paraId="16D5F121">
      <w:pPr>
        <w:pStyle w:val="5"/>
        <w:spacing w:line="360" w:lineRule="auto"/>
        <w:ind w:firstLine="420"/>
        <w:rPr>
          <w:rFonts w:hint="eastAsia" w:eastAsia="宋体"/>
          <w:sz w:val="21"/>
          <w:lang w:eastAsia="zh-CN"/>
        </w:rPr>
      </w:pPr>
      <w:r>
        <w:rPr>
          <w:rFonts w:eastAsia="宋体"/>
          <w:sz w:val="21"/>
          <w:lang w:eastAsia="zh-CN"/>
        </w:rPr>
        <w:t>若实际工作量结算总费用未超过已支付总费用，则整个项目第三阶段2</w:t>
      </w:r>
      <w:r>
        <w:rPr>
          <w:rFonts w:hint="eastAsia" w:eastAsia="宋体"/>
          <w:sz w:val="21"/>
          <w:lang w:eastAsia="zh-CN"/>
        </w:rPr>
        <w:t>0%</w:t>
      </w:r>
      <w:r>
        <w:rPr>
          <w:rFonts w:eastAsia="宋体"/>
          <w:sz w:val="21"/>
          <w:lang w:eastAsia="zh-CN"/>
        </w:rPr>
        <w:t>、第四阶段的2</w:t>
      </w:r>
      <w:r>
        <w:rPr>
          <w:rFonts w:hint="eastAsia" w:eastAsia="宋体"/>
          <w:sz w:val="21"/>
          <w:lang w:eastAsia="zh-CN"/>
        </w:rPr>
        <w:t>0%</w:t>
      </w:r>
      <w:r>
        <w:rPr>
          <w:rFonts w:eastAsia="宋体"/>
          <w:sz w:val="21"/>
          <w:lang w:eastAsia="zh-CN"/>
        </w:rPr>
        <w:t>费用金额在首期款费用内暂时计抵；当实际工作量结算总费用超出已支付总费用，按项目进度据实结算及支付。</w:t>
      </w:r>
    </w:p>
    <w:p w14:paraId="6DCF5441">
      <w:pPr>
        <w:pStyle w:val="5"/>
        <w:spacing w:line="360" w:lineRule="auto"/>
        <w:ind w:firstLine="420"/>
        <w:rPr>
          <w:rFonts w:hint="eastAsia" w:eastAsia="宋体"/>
          <w:sz w:val="21"/>
          <w:lang w:eastAsia="zh-CN"/>
        </w:rPr>
      </w:pPr>
      <w:r>
        <w:rPr>
          <w:rFonts w:hint="eastAsia" w:eastAsia="宋体"/>
          <w:sz w:val="21"/>
          <w:lang w:eastAsia="zh-CN"/>
        </w:rPr>
        <w:t>若采购人支付本合同项下款项需向相关政府部门申请，则各阶段支付条件除上述约定之外，</w:t>
      </w:r>
      <w:r>
        <w:rPr>
          <w:rFonts w:hint="eastAsia" w:eastAsia="宋体"/>
          <w:sz w:val="21"/>
          <w:lang w:eastAsia="zh-CN"/>
        </w:rPr>
        <w:t>还应包括采购人向相关政府部门申请款项并获得批准。若政府有关部门审定本协议项下相关费用时间过长，采购人应积极协调审核工作，中标供应商理解、认同，且不得因此追究采购人的责任。</w:t>
      </w:r>
    </w:p>
    <w:p w14:paraId="6C3A7F97">
      <w:pPr>
        <w:pStyle w:val="5"/>
        <w:spacing w:line="360" w:lineRule="auto"/>
        <w:ind w:firstLine="420"/>
        <w:rPr>
          <w:rFonts w:hint="eastAsia" w:eastAsia="宋体"/>
          <w:sz w:val="21"/>
          <w:lang w:eastAsia="zh-CN"/>
        </w:rPr>
      </w:pPr>
      <w:r>
        <w:rPr>
          <w:rFonts w:hint="eastAsia" w:eastAsia="宋体"/>
          <w:sz w:val="21"/>
          <w:lang w:eastAsia="zh-CN"/>
        </w:rPr>
        <w:t>注：因采购人使用的是财政资金，采购人在前款规定的付款时间为向政府支付部门提出办理财政支付申请手续的时间（不含政府财政支付部门审核的时间），在规定时间内提出支付申请手续后即视为采购人已经按期支付。</w:t>
      </w:r>
    </w:p>
    <w:p w14:paraId="6480C498">
      <w:pPr>
        <w:pStyle w:val="5"/>
        <w:spacing w:line="360" w:lineRule="auto"/>
        <w:outlineLvl w:val="1"/>
        <w:rPr>
          <w:rFonts w:hint="eastAsia" w:ascii="宋体" w:hAnsi="宋体" w:eastAsia="宋体" w:cs="宋体"/>
          <w:b/>
          <w:sz w:val="20"/>
          <w:szCs w:val="20"/>
          <w:lang w:eastAsia="zh-CN"/>
        </w:rPr>
      </w:pPr>
      <w:r>
        <w:rPr>
          <w:rFonts w:hint="eastAsia" w:ascii="宋体" w:hAnsi="宋体" w:eastAsia="宋体" w:cs="宋体"/>
          <w:b/>
          <w:sz w:val="20"/>
          <w:szCs w:val="20"/>
          <w:lang w:val="en-US" w:eastAsia="zh-CN"/>
        </w:rPr>
        <w:t>七、其他技术要求</w:t>
      </w:r>
    </w:p>
    <w:p w14:paraId="277CE462">
      <w:pPr>
        <w:pStyle w:val="5"/>
        <w:spacing w:line="360" w:lineRule="auto"/>
        <w:ind w:firstLine="420"/>
        <w:rPr>
          <w:rFonts w:hint="eastAsia" w:ascii="宋体" w:hAnsi="宋体" w:eastAsia="宋体" w:cs="宋体"/>
          <w:sz w:val="20"/>
          <w:szCs w:val="20"/>
        </w:rPr>
      </w:pPr>
      <w:r>
        <w:rPr>
          <w:rFonts w:hint="eastAsia" w:eastAsia="宋体"/>
          <w:sz w:val="21"/>
          <w:lang w:val="en-US" w:eastAsia="zh-CN"/>
        </w:rPr>
        <w:t>1、由于本项目具有复杂性和专业性，</w:t>
      </w:r>
      <w:r>
        <w:rPr>
          <w:rFonts w:hint="eastAsia" w:ascii="宋体" w:hAnsi="宋体" w:eastAsia="宋体" w:cs="宋体"/>
          <w:sz w:val="20"/>
          <w:szCs w:val="20"/>
        </w:rPr>
        <w:t>投标人须提供</w:t>
      </w:r>
      <w:r>
        <w:rPr>
          <w:rFonts w:hint="eastAsia" w:ascii="宋体" w:hAnsi="宋体" w:eastAsia="宋体" w:cs="宋体"/>
          <w:sz w:val="20"/>
          <w:szCs w:val="20"/>
          <w:lang w:val="en-US" w:eastAsia="zh-CN"/>
        </w:rPr>
        <w:t>技术服务技术</w:t>
      </w:r>
      <w:r>
        <w:rPr>
          <w:rFonts w:hint="eastAsia" w:ascii="宋体" w:hAnsi="宋体" w:eastAsia="宋体" w:cs="宋体"/>
          <w:sz w:val="20"/>
          <w:szCs w:val="20"/>
        </w:rPr>
        <w:t>工作</w:t>
      </w:r>
      <w:r>
        <w:rPr>
          <w:rFonts w:hint="eastAsia" w:ascii="宋体" w:hAnsi="宋体" w:eastAsia="宋体" w:cs="宋体"/>
          <w:sz w:val="20"/>
          <w:szCs w:val="20"/>
          <w:lang w:val="en-US" w:eastAsia="zh-CN"/>
        </w:rPr>
        <w:t>程序及</w:t>
      </w:r>
      <w:r>
        <w:rPr>
          <w:rFonts w:hint="eastAsia" w:ascii="宋体" w:hAnsi="宋体" w:eastAsia="宋体" w:cs="宋体"/>
          <w:sz w:val="20"/>
          <w:szCs w:val="20"/>
        </w:rPr>
        <w:t>方案，包括但不限于采取的技术手段、具体步骤、解决关键性问题的方法等。</w:t>
      </w:r>
    </w:p>
    <w:p w14:paraId="4329BBBF">
      <w:pPr>
        <w:pStyle w:val="5"/>
        <w:spacing w:line="360" w:lineRule="auto"/>
        <w:ind w:firstLine="420"/>
        <w:rPr>
          <w:rFonts w:hint="eastAsia" w:ascii="宋体" w:hAnsi="宋体" w:eastAsia="宋体" w:cs="宋体"/>
          <w:sz w:val="20"/>
          <w:szCs w:val="20"/>
        </w:rPr>
      </w:pPr>
      <w:r>
        <w:rPr>
          <w:rFonts w:hint="eastAsia" w:ascii="宋体" w:hAnsi="宋体" w:eastAsia="宋体" w:cs="宋体"/>
          <w:sz w:val="20"/>
          <w:szCs w:val="20"/>
          <w:lang w:val="en-US" w:eastAsia="zh-CN"/>
        </w:rPr>
        <w:t>2、</w:t>
      </w:r>
      <w:r>
        <w:rPr>
          <w:sz w:val="21"/>
        </w:rPr>
        <w:t>了解项目关键性技术的难点和重点问题，并且有可靠的对策</w:t>
      </w:r>
      <w:r>
        <w:rPr>
          <w:rFonts w:hint="eastAsia"/>
          <w:sz w:val="21"/>
          <w:lang w:eastAsia="zh-CN"/>
        </w:rPr>
        <w:t>，</w:t>
      </w:r>
      <w:r>
        <w:rPr>
          <w:rFonts w:hint="eastAsia" w:ascii="宋体" w:hAnsi="宋体" w:eastAsia="宋体" w:cs="宋体"/>
          <w:sz w:val="20"/>
          <w:szCs w:val="20"/>
        </w:rPr>
        <w:t>对于各个工作节点均有审慎的认识与应对方案 ，以保障本项目的实施。</w:t>
      </w:r>
    </w:p>
    <w:p w14:paraId="56115D15">
      <w:pPr>
        <w:pStyle w:val="5"/>
        <w:spacing w:line="360" w:lineRule="auto"/>
        <w:ind w:firstLine="420"/>
        <w:jc w:val="both"/>
        <w:outlineLvl w:val="9"/>
        <w:rPr>
          <w:rFonts w:hint="eastAsia" w:ascii="宋体" w:hAnsi="宋体" w:eastAsia="宋体" w:cs="宋体"/>
          <w:b w:val="0"/>
          <w:sz w:val="20"/>
          <w:szCs w:val="20"/>
          <w:lang w:val="en-US" w:eastAsia="zh-CN"/>
        </w:rPr>
      </w:pPr>
      <w:r>
        <w:rPr>
          <w:rFonts w:hint="eastAsia" w:ascii="宋体" w:hAnsi="宋体" w:eastAsia="宋体" w:cs="宋体"/>
          <w:b w:val="0"/>
          <w:sz w:val="20"/>
          <w:szCs w:val="20"/>
          <w:lang w:val="en-US" w:eastAsia="zh-CN"/>
        </w:rPr>
        <w:t>3、中标人提交的成果资料应符合有关法律、法规、标准、规范的要求，并保证工作成果满足行政审批部门的要求，中标人提供的成果质量不合格，将无偿负责规划调整或采取补救措施，以达到质量要求；对于成果的质量问题和采购人临时提出的其它合理技术要求，中标人应按时进行修改或生产。</w:t>
      </w:r>
    </w:p>
    <w:p w14:paraId="222E39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B367D"/>
    <w:rsid w:val="115C472D"/>
    <w:rsid w:val="452443AE"/>
    <w:rsid w:val="506801F3"/>
    <w:rsid w:val="511B367D"/>
    <w:rsid w:val="6B9A4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3713</Words>
  <Characters>4226</Characters>
  <Lines>0</Lines>
  <Paragraphs>0</Paragraphs>
  <TotalTime>0</TotalTime>
  <ScaleCrop>false</ScaleCrop>
  <LinksUpToDate>false</LinksUpToDate>
  <CharactersWithSpaces>4280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2025-12-12T09:25:00Z</dcterms:created>
  <dc:creator>YC</dc:creator>
  <cp:lastModifiedBy>C</cp:lastModifiedBy>
  <dcterms:modified xsi:type="dcterms:W3CDTF">2025-12-15T06:45:16Z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4D3143B245C94E9FA308840749078E0B_13</vt:lpwstr>
  </property>
  <property fmtid="{D5CDD505-2E9C-101B-9397-08002B2CF9AE}" pid="4" name="KSOTemplateDocerSaveRecord">
    <vt:lpwstr>eyJoZGlkIjoiNTBiY2Y0OTNmZDk1Zjc4ZmI4MjFiMmNmZGU1NmQ5ZGUiLCJ1c2VySWQiOiI0MzM1MDMyODAifQ==</vt:lpwstr>
  </property>
</Properties>
</file>